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39" w:rsidRPr="009E06E1" w:rsidRDefault="000C2B39" w:rsidP="00DE08D7">
      <w:pPr>
        <w:rPr>
          <w:b/>
          <w:bCs/>
          <w:sz w:val="32"/>
          <w:szCs w:val="32"/>
          <w:lang w:val="en-GB"/>
        </w:rPr>
      </w:pPr>
      <w:bookmarkStart w:id="0" w:name="_Hlk41986282"/>
    </w:p>
    <w:p w:rsidR="000C2B39" w:rsidRPr="009E06E1" w:rsidRDefault="007D26B2" w:rsidP="000C2B39">
      <w:pPr>
        <w:jc w:val="center"/>
        <w:rPr>
          <w:b/>
          <w:bCs/>
          <w:sz w:val="32"/>
          <w:szCs w:val="32"/>
          <w:lang w:val="en-GB"/>
        </w:rPr>
      </w:pPr>
      <w:r w:rsidRPr="009E06E1">
        <w:rPr>
          <w:b/>
          <w:bCs/>
          <w:sz w:val="32"/>
          <w:szCs w:val="32"/>
          <w:lang w:val="en-GB"/>
        </w:rPr>
        <w:t>GODIF tr</w:t>
      </w:r>
      <w:bookmarkStart w:id="1" w:name="_GoBack"/>
      <w:bookmarkEnd w:id="1"/>
      <w:r w:rsidRPr="009E06E1">
        <w:rPr>
          <w:b/>
          <w:bCs/>
          <w:sz w:val="32"/>
          <w:szCs w:val="32"/>
          <w:lang w:val="en-GB"/>
        </w:rPr>
        <w:t>ial synopsis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34"/>
        <w:gridCol w:w="8294"/>
      </w:tblGrid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8782" w:type="dxa"/>
          </w:tcPr>
          <w:p w:rsidR="007D26B2" w:rsidRPr="009E06E1" w:rsidRDefault="007D26B2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Goal directed fluid removal with furosemide in intensive care patients with fluid overload – A randomised, blinded, placebo-controlled trial (GODIF)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Short title</w:t>
            </w:r>
          </w:p>
        </w:tc>
        <w:tc>
          <w:tcPr>
            <w:tcW w:w="8782" w:type="dxa"/>
          </w:tcPr>
          <w:p w:rsidR="007D26B2" w:rsidRPr="009E06E1" w:rsidRDefault="007D26B2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GODIF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Objectives</w:t>
            </w:r>
          </w:p>
        </w:tc>
        <w:tc>
          <w:tcPr>
            <w:tcW w:w="8782" w:type="dxa"/>
          </w:tcPr>
          <w:p w:rsidR="007D26B2" w:rsidRPr="009E06E1" w:rsidRDefault="007D26B2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To assess the benefits and harms of fluid removal with furosemide vs placebo</w:t>
            </w:r>
            <w:r w:rsidR="00504AC6" w:rsidRPr="009E06E1">
              <w:rPr>
                <w:sz w:val="20"/>
                <w:szCs w:val="20"/>
                <w:lang w:val="en-GB"/>
              </w:rPr>
              <w:t xml:space="preserve"> on patient-important outcome measures in adult ICU patients with fluid overload.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8782" w:type="dxa"/>
          </w:tcPr>
          <w:p w:rsidR="007D26B2" w:rsidRPr="009E06E1" w:rsidRDefault="007D26B2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Adult ICU patients with fluid overload of 5 % or more</w:t>
            </w:r>
            <w:r w:rsidR="006F2B88" w:rsidRPr="009E06E1">
              <w:rPr>
                <w:sz w:val="20"/>
                <w:szCs w:val="20"/>
                <w:lang w:val="en-GB"/>
              </w:rPr>
              <w:t xml:space="preserve"> according to ideal body weight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9E06E1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Interventions</w:t>
            </w:r>
          </w:p>
        </w:tc>
        <w:tc>
          <w:tcPr>
            <w:tcW w:w="8782" w:type="dxa"/>
          </w:tcPr>
          <w:p w:rsidR="007D26B2" w:rsidRPr="009E06E1" w:rsidRDefault="00504AC6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Furosemide infusion to achieve and maintain a neutral cumulative fluid balance.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Comparator</w:t>
            </w:r>
          </w:p>
        </w:tc>
        <w:tc>
          <w:tcPr>
            <w:tcW w:w="8782" w:type="dxa"/>
          </w:tcPr>
          <w:p w:rsidR="007D26B2" w:rsidRPr="009E06E1" w:rsidRDefault="006F2B88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Placebo (saline 0.9%)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8782" w:type="dxa"/>
          </w:tcPr>
          <w:p w:rsidR="007D26B2" w:rsidRPr="009E06E1" w:rsidRDefault="006F2B88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Primary</w:t>
            </w:r>
            <w:r w:rsidRPr="009E06E1">
              <w:rPr>
                <w:sz w:val="20"/>
                <w:szCs w:val="20"/>
                <w:lang w:val="en-GB"/>
              </w:rPr>
              <w:t>:</w:t>
            </w:r>
          </w:p>
          <w:p w:rsidR="00CE6416" w:rsidRPr="009E06E1" w:rsidRDefault="006F2B88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Days alive and out of hospital at day 90 after randomisation.</w:t>
            </w:r>
          </w:p>
          <w:p w:rsidR="006F2B88" w:rsidRPr="009E06E1" w:rsidRDefault="006F2B88" w:rsidP="00DE08D7">
            <w:pPr>
              <w:rPr>
                <w:sz w:val="20"/>
                <w:szCs w:val="20"/>
                <w:lang w:val="en-GB"/>
              </w:rPr>
            </w:pPr>
            <w:r w:rsidRPr="009E06E1">
              <w:rPr>
                <w:b/>
                <w:bCs/>
                <w:sz w:val="20"/>
                <w:szCs w:val="20"/>
                <w:lang w:val="en-GB"/>
              </w:rPr>
              <w:t>Secondary</w:t>
            </w:r>
            <w:r w:rsidRPr="009E06E1">
              <w:rPr>
                <w:sz w:val="20"/>
                <w:szCs w:val="20"/>
                <w:lang w:val="en-GB"/>
              </w:rPr>
              <w:t>:</w:t>
            </w:r>
          </w:p>
          <w:p w:rsidR="006F2B88" w:rsidRPr="009E06E1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All-cause mortality at day 90 after randomi</w:t>
            </w:r>
            <w:r w:rsidR="009E06E1" w:rsidRPr="009E06E1">
              <w:rPr>
                <w:sz w:val="20"/>
                <w:szCs w:val="20"/>
                <w:lang w:val="en-GB"/>
              </w:rPr>
              <w:t>s</w:t>
            </w:r>
            <w:r w:rsidRPr="009E06E1">
              <w:rPr>
                <w:sz w:val="20"/>
                <w:szCs w:val="20"/>
                <w:lang w:val="en-GB"/>
              </w:rPr>
              <w:t>ation</w:t>
            </w:r>
          </w:p>
          <w:p w:rsidR="006F2B88" w:rsidRPr="009E06E1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Days alive at day 90 without life support (vasopressor/inotropic support, invasive mechanical ventilation or renal replacement therapy).</w:t>
            </w:r>
          </w:p>
          <w:p w:rsidR="006F2B88" w:rsidRPr="009E06E1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All-cau</w:t>
            </w:r>
            <w:r w:rsidR="00CE6416" w:rsidRPr="009E06E1">
              <w:rPr>
                <w:sz w:val="20"/>
                <w:szCs w:val="20"/>
                <w:lang w:val="en-GB"/>
              </w:rPr>
              <w:t>s</w:t>
            </w:r>
            <w:r w:rsidRPr="009E06E1">
              <w:rPr>
                <w:sz w:val="20"/>
                <w:szCs w:val="20"/>
                <w:lang w:val="en-GB"/>
              </w:rPr>
              <w:t>e mortality at 1-year after randomi</w:t>
            </w:r>
            <w:r w:rsidR="009E06E1" w:rsidRPr="009E06E1">
              <w:rPr>
                <w:sz w:val="20"/>
                <w:szCs w:val="20"/>
                <w:lang w:val="en-GB"/>
              </w:rPr>
              <w:t>s</w:t>
            </w:r>
            <w:r w:rsidRPr="009E06E1">
              <w:rPr>
                <w:sz w:val="20"/>
                <w:szCs w:val="20"/>
                <w:lang w:val="en-GB"/>
              </w:rPr>
              <w:t>ation</w:t>
            </w:r>
          </w:p>
          <w:p w:rsidR="006F2B88" w:rsidRPr="009E06E1" w:rsidRDefault="006F2B88" w:rsidP="00DE08D7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 w:rsidRPr="009E06E1">
              <w:rPr>
                <w:sz w:val="20"/>
                <w:szCs w:val="20"/>
                <w:lang w:val="en-GB"/>
              </w:rPr>
              <w:t>Number of participants with one or more serious adverse events (SAEs) and serious adverse reactions (SARs) to furosemide</w:t>
            </w:r>
          </w:p>
          <w:p w:rsidR="00DE08D7" w:rsidRPr="009E06E1" w:rsidRDefault="00DE08D7" w:rsidP="00DE08D7">
            <w:pPr>
              <w:pStyle w:val="NOR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Exploratory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CE6416" w:rsidRPr="009E06E1" w:rsidRDefault="006F2B88" w:rsidP="00DE08D7">
            <w:pPr>
              <w:pStyle w:val="NOR1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HRQoL</w:t>
            </w:r>
            <w:proofErr w:type="spellEnd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1-year after </w:t>
            </w: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randomisation measured using the </w:t>
            </w:r>
            <w:proofErr w:type="spellStart"/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EuroQoL</w:t>
            </w:r>
            <w:proofErr w:type="spellEnd"/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(EQ)-5D-5L and EQ-VAS scores. </w:t>
            </w:r>
          </w:p>
          <w:p w:rsidR="00DE08D7" w:rsidRPr="009E06E1" w:rsidRDefault="00DE08D7" w:rsidP="00DE08D7">
            <w:pPr>
              <w:pStyle w:val="NOR1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Participants subjective assessment of their quality of life since the treatment in the ICU (unacceptable/neutral/acceptable) compared to (EQ)-5D-5L and EQ-VAS scores.</w:t>
            </w:r>
          </w:p>
          <w:p w:rsidR="006F2B88" w:rsidRPr="009E06E1" w:rsidRDefault="006F2B88" w:rsidP="00DE08D7">
            <w:pPr>
              <w:pStyle w:val="NOR1"/>
              <w:numPr>
                <w:ilvl w:val="0"/>
                <w:numId w:val="8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Cognitive function 1-year after randomisation as assessed by the Montreal Cognitive Assessment (</w:t>
            </w:r>
            <w:proofErr w:type="spellStart"/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MoC</w:t>
            </w:r>
            <w:r w:rsidR="00234DD9"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proofErr w:type="spellEnd"/>
            <w:r w:rsidR="00CE6416"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mini</w:t>
            </w:r>
            <w:r w:rsidRPr="009E06E1">
              <w:rPr>
                <w:rFonts w:asciiTheme="minorHAnsi" w:eastAsia="Calibri" w:hAnsiTheme="minorHAnsi" w:cstheme="minorHAnsi"/>
                <w:sz w:val="20"/>
                <w:szCs w:val="20"/>
              </w:rPr>
              <w:t>) score.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9E06E1" w:rsidP="00DE08D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Eligibility</w:t>
            </w:r>
          </w:p>
        </w:tc>
        <w:tc>
          <w:tcPr>
            <w:tcW w:w="8782" w:type="dxa"/>
          </w:tcPr>
          <w:p w:rsidR="007D26B2" w:rsidRPr="009E06E1" w:rsidRDefault="006F2B88" w:rsidP="00DE08D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Inclusion criteria: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Acute admission to the ICU </w:t>
            </w:r>
            <w:proofErr w:type="gramStart"/>
            <w:r w:rsidRPr="009E0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proofErr w:type="gramEnd"/>
          </w:p>
          <w:p w:rsidR="00CE6416" w:rsidRPr="009E06E1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Age ≥ 18 years of age </w:t>
            </w:r>
            <w:r w:rsidRPr="009E0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Fluid overload defined as a positive cumulative fluid balance (according to the daily fluid charts) corresponding ≥ 5 % of ideal body weight (calculated as: 22 x (height in meters)</w:t>
            </w:r>
            <w:r w:rsidRPr="009E06E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26623"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0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Clinical stable defined as MAP &gt; 50 mmHg and maximum infusion of 0.20. microgram/kg/minute of noradrenaline and lactate &lt; 4,0 mmol/L.  </w:t>
            </w:r>
          </w:p>
          <w:p w:rsidR="006F2B88" w:rsidRPr="009E06E1" w:rsidRDefault="006F2B88" w:rsidP="00DE08D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Exclusion criteria: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20255526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Known allergy to furosemide or sulphonamides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Known pre-hospitalization advanced chronic kidney disease (eGFR &lt; 30 mL/minute/1.73 m</w:t>
            </w:r>
            <w:r w:rsidRPr="009E06E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or chronic RRT)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Ongoing RRT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Anuria for ≥ 6 hours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Ongoing life-threatening bleeding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Acute burn injury of more than 10% of the body surface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Severe </w:t>
            </w:r>
            <w:proofErr w:type="spellStart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dysnatremia</w:t>
            </w:r>
            <w:proofErr w:type="spellEnd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 (p-Na &lt; 120 or &gt; 155 mmol/l</w:t>
            </w:r>
            <w:bookmarkStart w:id="3" w:name="_Hlk21878934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 xml:space="preserve">Severe hepatic failure </w:t>
            </w:r>
            <w:bookmarkEnd w:id="3"/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as per the clinical team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Patients undergoing forced treatment</w:t>
            </w:r>
          </w:p>
          <w:p w:rsidR="00CE6416" w:rsidRPr="009E06E1" w:rsidRDefault="00CE6416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Pregnant women</w:t>
            </w:r>
          </w:p>
          <w:bookmarkEnd w:id="2"/>
          <w:p w:rsidR="00CE6416" w:rsidRPr="009E06E1" w:rsidRDefault="00426623" w:rsidP="00DE08D7">
            <w:pPr>
              <w:pStyle w:val="NOR1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Informed conse</w:t>
            </w:r>
            <w:r w:rsidR="006C24B1" w:rsidRPr="009E06E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E06E1">
              <w:rPr>
                <w:rFonts w:asciiTheme="minorHAnsi" w:hAnsiTheme="minorHAnsi" w:cstheme="minorHAnsi"/>
                <w:sz w:val="20"/>
                <w:szCs w:val="20"/>
              </w:rPr>
              <w:t>t not obtainable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8782" w:type="dxa"/>
          </w:tcPr>
          <w:p w:rsidR="007D26B2" w:rsidRPr="009E06E1" w:rsidRDefault="006F2B88" w:rsidP="00DE08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sz w:val="20"/>
                <w:szCs w:val="20"/>
                <w:lang w:val="en-GB"/>
              </w:rPr>
              <w:t xml:space="preserve">2 x 500 </w:t>
            </w:r>
            <w:r w:rsidR="000C2B39" w:rsidRPr="009E06E1">
              <w:rPr>
                <w:rFonts w:cstheme="minorHAnsi"/>
                <w:sz w:val="20"/>
                <w:szCs w:val="20"/>
                <w:lang w:val="en-GB"/>
              </w:rPr>
              <w:t xml:space="preserve">(15% relative risk reduction (8% absolute) in furosemide vs. placebo group in the primary outcome, assuming a baseline 90-day mortality of 27% (two sided </w:t>
            </w:r>
            <w:r w:rsidR="000C2B39" w:rsidRPr="009E06E1">
              <w:rPr>
                <w:sz w:val="20"/>
                <w:szCs w:val="20"/>
                <w:lang w:val="en-GB"/>
              </w:rPr>
              <w:t>α=0.05 and β=0.2)</w:t>
            </w:r>
          </w:p>
        </w:tc>
      </w:tr>
      <w:tr w:rsidR="007D26B2" w:rsidRPr="009E06E1" w:rsidTr="007D26B2">
        <w:tc>
          <w:tcPr>
            <w:tcW w:w="846" w:type="dxa"/>
          </w:tcPr>
          <w:p w:rsidR="007D26B2" w:rsidRPr="009E06E1" w:rsidRDefault="007D26B2" w:rsidP="00DE08D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b/>
                <w:bCs/>
                <w:sz w:val="20"/>
                <w:szCs w:val="20"/>
                <w:lang w:val="en-GB"/>
              </w:rPr>
              <w:t>Trial duration</w:t>
            </w:r>
          </w:p>
        </w:tc>
        <w:tc>
          <w:tcPr>
            <w:tcW w:w="8782" w:type="dxa"/>
          </w:tcPr>
          <w:p w:rsidR="007D26B2" w:rsidRPr="009E06E1" w:rsidRDefault="006F2B88" w:rsidP="00DE08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E06E1">
              <w:rPr>
                <w:rFonts w:cstheme="minorHAnsi"/>
                <w:sz w:val="20"/>
                <w:szCs w:val="20"/>
                <w:lang w:val="en-GB"/>
              </w:rPr>
              <w:t>The trial intervention will continue for a maximum of 90 days post-randomisation. 90 days and 1-year follow-up post randomisation. Estimated recruitment period is 2 year</w:t>
            </w:r>
            <w:r w:rsidR="00CE6416" w:rsidRPr="009E06E1">
              <w:rPr>
                <w:rFonts w:cstheme="minorHAnsi"/>
                <w:sz w:val="20"/>
                <w:szCs w:val="20"/>
                <w:lang w:val="en-GB"/>
              </w:rPr>
              <w:t>s</w:t>
            </w:r>
            <w:r w:rsidRPr="009E06E1">
              <w:rPr>
                <w:rFonts w:cstheme="minorHAnsi"/>
                <w:sz w:val="20"/>
                <w:szCs w:val="20"/>
                <w:lang w:val="en-GB"/>
              </w:rPr>
              <w:t xml:space="preserve"> from </w:t>
            </w:r>
            <w:r w:rsidR="00DE08D7" w:rsidRPr="009E06E1">
              <w:rPr>
                <w:rFonts w:cstheme="minorHAnsi"/>
                <w:sz w:val="20"/>
                <w:szCs w:val="20"/>
                <w:lang w:val="en-GB"/>
              </w:rPr>
              <w:t>August</w:t>
            </w:r>
            <w:r w:rsidRPr="009E06E1">
              <w:rPr>
                <w:rFonts w:cstheme="minorHAnsi"/>
                <w:sz w:val="20"/>
                <w:szCs w:val="20"/>
                <w:lang w:val="en-GB"/>
              </w:rPr>
              <w:t xml:space="preserve"> 2020.</w:t>
            </w:r>
          </w:p>
        </w:tc>
      </w:tr>
      <w:bookmarkEnd w:id="0"/>
    </w:tbl>
    <w:p w:rsidR="007D26B2" w:rsidRPr="00DE08D7" w:rsidRDefault="007D26B2" w:rsidP="00AC7DAE">
      <w:pPr>
        <w:spacing w:line="240" w:lineRule="auto"/>
        <w:rPr>
          <w:rFonts w:cstheme="minorHAnsi"/>
          <w:sz w:val="20"/>
          <w:szCs w:val="20"/>
          <w:lang w:val="en-US"/>
        </w:rPr>
      </w:pPr>
    </w:p>
    <w:sectPr w:rsidR="007D26B2" w:rsidRPr="00DE08D7" w:rsidSect="00AC7DAE">
      <w:headerReference w:type="default" r:id="rId7"/>
      <w:footerReference w:type="default" r:id="rId8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B2" w:rsidRDefault="007D26B2" w:rsidP="007D26B2">
      <w:pPr>
        <w:spacing w:after="0" w:line="240" w:lineRule="auto"/>
      </w:pPr>
      <w:r>
        <w:separator/>
      </w:r>
    </w:p>
  </w:endnote>
  <w:endnote w:type="continuationSeparator" w:id="0">
    <w:p w:rsidR="007D26B2" w:rsidRDefault="007D26B2" w:rsidP="007D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58" w:rsidRDefault="007C7658" w:rsidP="007C7658">
    <w:pPr>
      <w:pStyle w:val="Sidefod"/>
      <w:jc w:val="center"/>
      <w:rPr>
        <w:rFonts w:cstheme="minorHAnsi"/>
      </w:rPr>
    </w:pPr>
    <w:r w:rsidRPr="00B05DB5">
      <w:t>Anæstesiologisk afdeling Nordsjællands h</w:t>
    </w:r>
    <w:r>
      <w:t xml:space="preserve">ospital </w:t>
    </w:r>
    <w:r>
      <w:rPr>
        <w:rFonts w:cstheme="minorHAnsi"/>
      </w:rPr>
      <w:t>● Dyrehavevej 29 ● 3400 Hillerød</w:t>
    </w:r>
  </w:p>
  <w:p w:rsidR="007C7658" w:rsidRDefault="007C7658" w:rsidP="007C7658">
    <w:pPr>
      <w:pStyle w:val="Sidefod"/>
      <w:jc w:val="center"/>
    </w:pPr>
    <w:r>
      <w:rPr>
        <w:rFonts w:cstheme="minorHAnsi"/>
      </w:rPr>
      <w:t xml:space="preserve">+45 4829 6773 ● </w:t>
    </w:r>
    <w:hyperlink r:id="rId1" w:history="1">
      <w:r w:rsidRPr="003E6BE8">
        <w:rPr>
          <w:rStyle w:val="Hyperlink"/>
          <w:rFonts w:cstheme="minorHAnsi"/>
        </w:rPr>
        <w:t>godif@cric.nu</w:t>
      </w:r>
    </w:hyperlink>
    <w:r>
      <w:rPr>
        <w:rFonts w:cstheme="minorHAnsi"/>
      </w:rPr>
      <w:t xml:space="preserve"> ● </w:t>
    </w:r>
    <w:hyperlink r:id="rId2" w:history="1">
      <w:r w:rsidRPr="003E6BE8">
        <w:rPr>
          <w:rStyle w:val="Hyperlink"/>
          <w:rFonts w:cstheme="minorHAnsi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B2" w:rsidRDefault="007D26B2" w:rsidP="007D26B2">
      <w:pPr>
        <w:spacing w:after="0" w:line="240" w:lineRule="auto"/>
      </w:pPr>
      <w:r>
        <w:separator/>
      </w:r>
    </w:p>
  </w:footnote>
  <w:footnote w:type="continuationSeparator" w:id="0">
    <w:p w:rsidR="007D26B2" w:rsidRDefault="007D26B2" w:rsidP="007D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72" w:rsidRPr="00617072" w:rsidRDefault="00617072" w:rsidP="00617072">
    <w:pPr>
      <w:pStyle w:val="Sidehoved"/>
      <w:jc w:val="right"/>
      <w:rPr>
        <w:sz w:val="16"/>
        <w:szCs w:val="16"/>
      </w:rPr>
    </w:pPr>
    <w:r w:rsidRPr="00617072">
      <w:rPr>
        <w:sz w:val="16"/>
        <w:szCs w:val="16"/>
      </w:rPr>
      <w:t>Trial synopsis V1.0_04.06.2020</w:t>
    </w:r>
    <w:r w:rsidR="007D26B2" w:rsidRPr="00617072">
      <w:rPr>
        <w:sz w:val="16"/>
        <w:szCs w:val="16"/>
      </w:rPr>
      <w:t xml:space="preserve">                                              </w:t>
    </w:r>
    <w:r w:rsidR="00DE08D7" w:rsidRPr="00617072">
      <w:rPr>
        <w:sz w:val="16"/>
        <w:szCs w:val="16"/>
      </w:rPr>
      <w:t xml:space="preserve">     </w:t>
    </w:r>
    <w:r w:rsidR="007D26B2" w:rsidRPr="00617072">
      <w:rPr>
        <w:sz w:val="16"/>
        <w:szCs w:val="16"/>
      </w:rPr>
      <w:t xml:space="preserve">           </w:t>
    </w:r>
    <w:r w:rsidR="0091538A" w:rsidRPr="00617072">
      <w:rPr>
        <w:sz w:val="16"/>
        <w:szCs w:val="16"/>
      </w:rPr>
      <w:t xml:space="preserve"> </w:t>
    </w:r>
    <w:r w:rsidR="007D26B2" w:rsidRPr="00617072">
      <w:rPr>
        <w:sz w:val="16"/>
        <w:szCs w:val="16"/>
      </w:rPr>
      <w:t xml:space="preserve"> </w:t>
    </w:r>
  </w:p>
  <w:p w:rsidR="007D26B2" w:rsidRDefault="007D26B2" w:rsidP="00617072">
    <w:pPr>
      <w:pStyle w:val="Sidehoved"/>
      <w:jc w:val="center"/>
    </w:pPr>
    <w:r>
      <w:rPr>
        <w:noProof/>
      </w:rPr>
      <w:drawing>
        <wp:inline distT="0" distB="0" distL="0" distR="0">
          <wp:extent cx="1628775" cy="420290"/>
          <wp:effectExtent l="0" t="0" r="0" b="0"/>
          <wp:docPr id="26" name="Billede 26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224" cy="455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26B2" w:rsidRPr="007D26B2" w:rsidRDefault="007D26B2">
    <w:pPr>
      <w:pStyle w:val="Sidehoved"/>
      <w:rPr>
        <w:lang w:val="en-US"/>
      </w:rPr>
    </w:pPr>
    <w:r w:rsidRPr="007D26B2">
      <w:rPr>
        <w:lang w:val="en-US"/>
      </w:rPr>
      <w:t xml:space="preserve">     </w:t>
    </w:r>
    <w:r>
      <w:rPr>
        <w:lang w:val="en-US"/>
      </w:rPr>
      <w:t xml:space="preserve">        </w:t>
    </w:r>
    <w:r w:rsidRPr="007D26B2">
      <w:rPr>
        <w:lang w:val="en-US"/>
      </w:rPr>
      <w:t>Goal directed fluid removal with f</w:t>
    </w:r>
    <w:r>
      <w:rPr>
        <w:lang w:val="en-US"/>
      </w:rPr>
      <w:t>urosemide in intensive care patients with fluid overload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31F"/>
    <w:multiLevelType w:val="hybridMultilevel"/>
    <w:tmpl w:val="B414D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0FDC"/>
    <w:multiLevelType w:val="hybridMultilevel"/>
    <w:tmpl w:val="5950AA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4F31"/>
    <w:multiLevelType w:val="hybridMultilevel"/>
    <w:tmpl w:val="C08C5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31C"/>
    <w:multiLevelType w:val="hybridMultilevel"/>
    <w:tmpl w:val="0108F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729BB"/>
    <w:multiLevelType w:val="hybridMultilevel"/>
    <w:tmpl w:val="C08A0D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27B7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BE7AE49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E70E7"/>
    <w:multiLevelType w:val="hybridMultilevel"/>
    <w:tmpl w:val="3CDE68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225C"/>
    <w:multiLevelType w:val="hybridMultilevel"/>
    <w:tmpl w:val="9F26F24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351C60"/>
    <w:multiLevelType w:val="hybridMultilevel"/>
    <w:tmpl w:val="9AB244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27B7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BE7AE49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B2"/>
    <w:rsid w:val="00002E9F"/>
    <w:rsid w:val="000C2B39"/>
    <w:rsid w:val="00234DD9"/>
    <w:rsid w:val="00426623"/>
    <w:rsid w:val="004B1868"/>
    <w:rsid w:val="00504AC6"/>
    <w:rsid w:val="00617072"/>
    <w:rsid w:val="00625B0D"/>
    <w:rsid w:val="006C24B1"/>
    <w:rsid w:val="006F2B88"/>
    <w:rsid w:val="00716BEB"/>
    <w:rsid w:val="007C7658"/>
    <w:rsid w:val="007D26B2"/>
    <w:rsid w:val="0091538A"/>
    <w:rsid w:val="009E06E1"/>
    <w:rsid w:val="00A166E7"/>
    <w:rsid w:val="00A22F79"/>
    <w:rsid w:val="00AC7DAE"/>
    <w:rsid w:val="00CE6416"/>
    <w:rsid w:val="00DB04C8"/>
    <w:rsid w:val="00D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74BED"/>
  <w15:chartTrackingRefBased/>
  <w15:docId w15:val="{110E1850-2A8C-4092-B15D-7FC95673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2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26B2"/>
  </w:style>
  <w:style w:type="paragraph" w:styleId="Sidefod">
    <w:name w:val="footer"/>
    <w:basedOn w:val="Normal"/>
    <w:link w:val="SidefodTegn"/>
    <w:uiPriority w:val="99"/>
    <w:unhideWhenUsed/>
    <w:rsid w:val="007D2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26B2"/>
  </w:style>
  <w:style w:type="table" w:styleId="Tabel-Gitter">
    <w:name w:val="Table Grid"/>
    <w:basedOn w:val="Tabel-Normal"/>
    <w:uiPriority w:val="39"/>
    <w:rsid w:val="007D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1">
    <w:name w:val="NOR_1"/>
    <w:basedOn w:val="Normal"/>
    <w:link w:val="NOR1Char"/>
    <w:uiPriority w:val="99"/>
    <w:qFormat/>
    <w:rsid w:val="006F2B88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6F2B88"/>
    <w:rPr>
      <w:rFonts w:ascii="Arial" w:eastAsia="Times New Roman" w:hAnsi="Arial" w:cs="Times New Roman"/>
      <w:szCs w:val="16"/>
      <w:lang w:val="en-GB"/>
    </w:rPr>
  </w:style>
  <w:style w:type="paragraph" w:styleId="Listeafsnit">
    <w:name w:val="List Paragraph"/>
    <w:basedOn w:val="Normal"/>
    <w:uiPriority w:val="34"/>
    <w:qFormat/>
    <w:rsid w:val="00CE641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C7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16</cp:revision>
  <cp:lastPrinted>2020-06-02T08:28:00Z</cp:lastPrinted>
  <dcterms:created xsi:type="dcterms:W3CDTF">2020-02-12T09:28:00Z</dcterms:created>
  <dcterms:modified xsi:type="dcterms:W3CDTF">2020-08-17T11:58:00Z</dcterms:modified>
</cp:coreProperties>
</file>