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97D3B" w14:textId="0FEF36F4" w:rsidR="006F7AA6" w:rsidRDefault="00E75D5D">
      <w:r>
        <w:rPr>
          <w:noProof/>
          <w:lang w:eastAsia="da-DK"/>
        </w:rPr>
        <w:drawing>
          <wp:inline distT="0" distB="0" distL="0" distR="0" wp14:anchorId="53117C27" wp14:editId="1F2A9DDB">
            <wp:extent cx="1461265" cy="895287"/>
            <wp:effectExtent l="0" t="0" r="5715" b="6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c logo (0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3274" cy="914899"/>
                    </a:xfrm>
                    <a:prstGeom prst="rect">
                      <a:avLst/>
                    </a:prstGeom>
                  </pic:spPr>
                </pic:pic>
              </a:graphicData>
            </a:graphic>
          </wp:inline>
        </w:drawing>
      </w:r>
    </w:p>
    <w:p w14:paraId="77A6024B" w14:textId="256BD0FD" w:rsidR="006F7AA6" w:rsidRPr="00252BFD" w:rsidRDefault="00C918FF" w:rsidP="00252BFD">
      <w:pPr>
        <w:jc w:val="center"/>
        <w:rPr>
          <w:b/>
          <w:sz w:val="24"/>
          <w:lang w:val="en-US"/>
        </w:rPr>
      </w:pPr>
      <w:r>
        <w:rPr>
          <w:b/>
          <w:sz w:val="24"/>
          <w:lang w:val="en-US"/>
        </w:rPr>
        <w:t>Monitor Cost</w:t>
      </w:r>
      <w:r w:rsidR="002078FF">
        <w:rPr>
          <w:b/>
          <w:sz w:val="24"/>
          <w:lang w:val="en-US"/>
        </w:rPr>
        <w:t xml:space="preserve"> Agreement</w:t>
      </w:r>
      <w:r w:rsidR="00252BFD" w:rsidRPr="00252BFD">
        <w:rPr>
          <w:b/>
          <w:sz w:val="24"/>
          <w:lang w:val="en-US"/>
        </w:rPr>
        <w:t xml:space="preserve"> for the CLASSIC trial</w:t>
      </w:r>
    </w:p>
    <w:p w14:paraId="724C9EA0" w14:textId="16787D1C" w:rsidR="00252BFD" w:rsidRDefault="00252BFD" w:rsidP="00252BFD">
      <w:pPr>
        <w:jc w:val="center"/>
        <w:rPr>
          <w:lang w:val="en-US"/>
        </w:rPr>
      </w:pPr>
      <w:r>
        <w:rPr>
          <w:lang w:val="en-US"/>
        </w:rPr>
        <w:t>The Conservative vs. Liberal Approach to fluid therapy of Septic Shock Intensive Care (CLASSIC) Trial</w:t>
      </w:r>
    </w:p>
    <w:p w14:paraId="27645ACA" w14:textId="5513741E" w:rsidR="00252BFD" w:rsidRPr="00252BFD" w:rsidRDefault="00252BFD" w:rsidP="00252BFD">
      <w:pPr>
        <w:jc w:val="center"/>
        <w:rPr>
          <w:lang w:val="en-US"/>
        </w:rPr>
      </w:pPr>
      <w:r>
        <w:rPr>
          <w:lang w:val="en-US"/>
        </w:rPr>
        <w:t xml:space="preserve">A </w:t>
      </w:r>
      <w:proofErr w:type="spellStart"/>
      <w:r>
        <w:rPr>
          <w:lang w:val="en-US"/>
        </w:rPr>
        <w:t>randomised</w:t>
      </w:r>
      <w:proofErr w:type="spellEnd"/>
      <w:r>
        <w:rPr>
          <w:lang w:val="en-US"/>
        </w:rPr>
        <w:t>, blinded, placebo-controlled trial</w:t>
      </w:r>
    </w:p>
    <w:p w14:paraId="374AFD86" w14:textId="77777777" w:rsidR="00252BFD" w:rsidRDefault="00252BFD">
      <w:pPr>
        <w:rPr>
          <w:b/>
          <w:lang w:val="en-US"/>
        </w:rPr>
      </w:pPr>
    </w:p>
    <w:p w14:paraId="36B2EA7D" w14:textId="665A7518" w:rsidR="006F7AA6" w:rsidRPr="00252BFD" w:rsidRDefault="006F7AA6">
      <w:pPr>
        <w:rPr>
          <w:b/>
          <w:lang w:val="en-US"/>
        </w:rPr>
      </w:pPr>
      <w:r w:rsidRPr="00252BFD">
        <w:rPr>
          <w:b/>
          <w:lang w:val="en-US"/>
        </w:rPr>
        <w:t>Name</w:t>
      </w:r>
      <w:r w:rsidR="0007601C" w:rsidRPr="00252BFD">
        <w:rPr>
          <w:b/>
          <w:lang w:val="en-US"/>
        </w:rPr>
        <w:t xml:space="preserve"> of institution providing the services</w:t>
      </w:r>
      <w:r w:rsidR="00E75D5D" w:rsidRPr="00252BFD">
        <w:rPr>
          <w:b/>
          <w:lang w:val="en-US"/>
        </w:rPr>
        <w:t>:</w:t>
      </w:r>
    </w:p>
    <w:p w14:paraId="50D93B80" w14:textId="70BBAD8F" w:rsidR="006F7AA6" w:rsidRPr="0007601C" w:rsidRDefault="006F7AA6">
      <w:pPr>
        <w:rPr>
          <w:lang w:val="en-US"/>
        </w:rPr>
      </w:pPr>
      <w:r w:rsidRPr="0007601C">
        <w:rPr>
          <w:lang w:val="en-US"/>
        </w:rPr>
        <w:t>Address</w:t>
      </w:r>
      <w:r w:rsidR="00E75D5D">
        <w:rPr>
          <w:lang w:val="en-US"/>
        </w:rPr>
        <w:t xml:space="preserve">: </w:t>
      </w:r>
      <w:r w:rsidR="00E75D5D" w:rsidRPr="00E75D5D">
        <w:rPr>
          <w:highlight w:val="yellow"/>
          <w:lang w:val="en-US"/>
        </w:rPr>
        <w:t>[]</w:t>
      </w:r>
    </w:p>
    <w:p w14:paraId="14357F80" w14:textId="1169E983" w:rsidR="006F7AA6" w:rsidRPr="0007601C" w:rsidRDefault="006F7AA6">
      <w:pPr>
        <w:rPr>
          <w:lang w:val="en-US"/>
        </w:rPr>
      </w:pPr>
      <w:r w:rsidRPr="0007601C">
        <w:rPr>
          <w:lang w:val="en-US"/>
        </w:rPr>
        <w:t>Contact person:</w:t>
      </w:r>
      <w:r w:rsidR="00E75D5D">
        <w:rPr>
          <w:lang w:val="en-US"/>
        </w:rPr>
        <w:t xml:space="preserve"> </w:t>
      </w:r>
      <w:r w:rsidR="00E75D5D" w:rsidRPr="00E75D5D">
        <w:rPr>
          <w:highlight w:val="yellow"/>
          <w:lang w:val="en-US"/>
        </w:rPr>
        <w:t>[]</w:t>
      </w:r>
    </w:p>
    <w:p w14:paraId="75786E54" w14:textId="229E46BF" w:rsidR="006F7AA6" w:rsidRPr="00E75D5D" w:rsidRDefault="006F7AA6">
      <w:pPr>
        <w:rPr>
          <w:lang w:val="en-US"/>
        </w:rPr>
      </w:pPr>
      <w:r w:rsidRPr="00E75D5D">
        <w:rPr>
          <w:lang w:val="en-US"/>
        </w:rPr>
        <w:t>Phone:</w:t>
      </w:r>
      <w:r w:rsidR="00E75D5D">
        <w:rPr>
          <w:lang w:val="en-US"/>
        </w:rPr>
        <w:t xml:space="preserve"> </w:t>
      </w:r>
      <w:r w:rsidR="00E75D5D" w:rsidRPr="00E75D5D">
        <w:rPr>
          <w:highlight w:val="yellow"/>
          <w:lang w:val="en-US"/>
        </w:rPr>
        <w:t>[]</w:t>
      </w:r>
    </w:p>
    <w:p w14:paraId="724930F5" w14:textId="7A44D676" w:rsidR="006F7AA6" w:rsidRDefault="006F7AA6">
      <w:pPr>
        <w:rPr>
          <w:lang w:val="en-US"/>
        </w:rPr>
      </w:pPr>
      <w:r w:rsidRPr="00E75D5D">
        <w:rPr>
          <w:highlight w:val="yellow"/>
          <w:lang w:val="en-US"/>
        </w:rPr>
        <w:t>[Name]</w:t>
      </w:r>
      <w:r w:rsidRPr="006F7AA6">
        <w:rPr>
          <w:lang w:val="en-US"/>
        </w:rPr>
        <w:t xml:space="preserve"> hereby offer monitoring s</w:t>
      </w:r>
      <w:r>
        <w:rPr>
          <w:lang w:val="en-US"/>
        </w:rPr>
        <w:t xml:space="preserve">ervices for the </w:t>
      </w:r>
      <w:r w:rsidR="00E75D5D">
        <w:rPr>
          <w:lang w:val="en-US"/>
        </w:rPr>
        <w:t>CLASSIC</w:t>
      </w:r>
      <w:r>
        <w:rPr>
          <w:lang w:val="en-US"/>
        </w:rPr>
        <w:t xml:space="preserve"> trial in </w:t>
      </w:r>
      <w:r w:rsidR="008E2968" w:rsidRPr="008E2968">
        <w:rPr>
          <w:highlight w:val="yellow"/>
          <w:lang w:val="en-US"/>
        </w:rPr>
        <w:t>XXX</w:t>
      </w:r>
      <w:r w:rsidR="0007601C">
        <w:rPr>
          <w:lang w:val="en-US"/>
        </w:rPr>
        <w:t xml:space="preserve">. </w:t>
      </w:r>
    </w:p>
    <w:p w14:paraId="6E30B5CE" w14:textId="67E55975" w:rsidR="00F42B5B" w:rsidRDefault="00F42B5B" w:rsidP="00F42B5B">
      <w:pPr>
        <w:rPr>
          <w:lang w:val="en-US"/>
        </w:rPr>
      </w:pPr>
    </w:p>
    <w:p w14:paraId="64A5D623" w14:textId="1400A8F5" w:rsidR="00B94EB1" w:rsidRDefault="007705AD" w:rsidP="00F42B5B">
      <w:pPr>
        <w:rPr>
          <w:i/>
          <w:sz w:val="24"/>
          <w:szCs w:val="24"/>
          <w:lang w:val="en-US"/>
        </w:rPr>
      </w:pPr>
      <w:r w:rsidRPr="00AF69A2">
        <w:rPr>
          <w:i/>
          <w:sz w:val="24"/>
          <w:szCs w:val="24"/>
          <w:lang w:val="en-US"/>
        </w:rPr>
        <w:t>This agreement</w:t>
      </w:r>
      <w:r>
        <w:rPr>
          <w:i/>
          <w:sz w:val="24"/>
          <w:szCs w:val="24"/>
          <w:lang w:val="en-US"/>
        </w:rPr>
        <w:t xml:space="preserve"> concerns only cost covering for monitoring the CLASSIC trial and</w:t>
      </w:r>
      <w:r w:rsidRPr="00AF69A2">
        <w:rPr>
          <w:i/>
          <w:sz w:val="24"/>
          <w:szCs w:val="24"/>
          <w:lang w:val="en-US"/>
        </w:rPr>
        <w:t xml:space="preserve"> has been concluded based on the trial description in protocol version 2.1 and based on the monitoring plan, which primary GCP coordinator and Sponsor agrees on. The monitoring plan is expected to be complied.</w:t>
      </w:r>
    </w:p>
    <w:p w14:paraId="01D18834" w14:textId="77777777" w:rsidR="009539EA" w:rsidRPr="00C3629C" w:rsidRDefault="009539EA" w:rsidP="009539EA">
      <w:pPr>
        <w:rPr>
          <w:i/>
          <w:sz w:val="24"/>
          <w:szCs w:val="24"/>
          <w:lang w:val="en-US"/>
        </w:rPr>
      </w:pPr>
      <w:r w:rsidRPr="00C3629C">
        <w:rPr>
          <w:i/>
          <w:sz w:val="24"/>
          <w:szCs w:val="24"/>
          <w:lang w:val="en-US"/>
        </w:rPr>
        <w:t>The Clinical Trial Agreement between National Investigator and Sponsor contains conditions as confidentiality, term &amp; termination, which are the same for the monitor.</w:t>
      </w:r>
    </w:p>
    <w:p w14:paraId="07B33A55" w14:textId="77777777" w:rsidR="009539EA" w:rsidRPr="007705AD" w:rsidRDefault="009539EA" w:rsidP="00F42B5B">
      <w:pPr>
        <w:rPr>
          <w:i/>
          <w:sz w:val="24"/>
          <w:szCs w:val="24"/>
          <w:lang w:val="en-US"/>
        </w:rPr>
      </w:pPr>
    </w:p>
    <w:p w14:paraId="4FBC09ED" w14:textId="25700EAA" w:rsidR="00F42B5B" w:rsidRDefault="00F42B5B" w:rsidP="00F42B5B">
      <w:pPr>
        <w:ind w:left="2608" w:hanging="2608"/>
        <w:rPr>
          <w:lang w:val="en-US"/>
        </w:rPr>
      </w:pPr>
      <w:r w:rsidRPr="00AF4F9A">
        <w:rPr>
          <w:b/>
          <w:lang w:val="en-US"/>
        </w:rPr>
        <w:t>Study title:</w:t>
      </w:r>
      <w:r>
        <w:rPr>
          <w:lang w:val="en-US"/>
        </w:rPr>
        <w:t xml:space="preserve"> </w:t>
      </w:r>
      <w:r>
        <w:rPr>
          <w:lang w:val="en-US"/>
        </w:rPr>
        <w:tab/>
        <w:t xml:space="preserve">The Conservative vs. Liberal Approach to fluid therapy of Septic Shock in Intensive Care (CLASSIC) Trial. </w:t>
      </w:r>
    </w:p>
    <w:p w14:paraId="4539834E" w14:textId="69141ABD" w:rsidR="00F42B5B" w:rsidRDefault="00F42B5B">
      <w:pPr>
        <w:rPr>
          <w:lang w:val="en-US"/>
        </w:rPr>
      </w:pPr>
      <w:r w:rsidRPr="00F42B5B">
        <w:rPr>
          <w:b/>
          <w:lang w:val="en-US"/>
        </w:rPr>
        <w:t>Protocol version</w:t>
      </w:r>
      <w:r>
        <w:rPr>
          <w:lang w:val="en-US"/>
        </w:rPr>
        <w:t xml:space="preserve"> </w:t>
      </w:r>
      <w:r>
        <w:rPr>
          <w:lang w:val="en-US"/>
        </w:rPr>
        <w:tab/>
        <w:t>2.1 and date 3/5/2018.</w:t>
      </w:r>
    </w:p>
    <w:p w14:paraId="4352C29D" w14:textId="5CD0BDC8" w:rsidR="00252BFD" w:rsidRDefault="00252BFD">
      <w:pPr>
        <w:rPr>
          <w:lang w:val="en-US"/>
        </w:rPr>
      </w:pPr>
      <w:r w:rsidRPr="00252BFD">
        <w:rPr>
          <w:b/>
          <w:lang w:val="en-US"/>
        </w:rPr>
        <w:t>EudraCT-number</w:t>
      </w:r>
      <w:r>
        <w:rPr>
          <w:lang w:val="en-US"/>
        </w:rPr>
        <w:tab/>
        <w:t>2018-000404-42</w:t>
      </w:r>
    </w:p>
    <w:p w14:paraId="6C09E617" w14:textId="77777777" w:rsidR="00E821D8" w:rsidRDefault="008E7B60" w:rsidP="00E821D8">
      <w:pPr>
        <w:spacing w:after="0"/>
        <w:rPr>
          <w:b/>
          <w:lang w:val="en-US"/>
        </w:rPr>
      </w:pPr>
      <w:r w:rsidRPr="00AF4F9A">
        <w:rPr>
          <w:b/>
          <w:lang w:val="en-US"/>
        </w:rPr>
        <w:t>National Investigator:</w:t>
      </w:r>
      <w:r w:rsidR="00F42B5B">
        <w:rPr>
          <w:b/>
          <w:lang w:val="en-US"/>
        </w:rPr>
        <w:tab/>
      </w:r>
      <w:r w:rsidR="00E821D8" w:rsidRPr="00E821D8">
        <w:rPr>
          <w:highlight w:val="yellow"/>
          <w:lang w:val="en-US"/>
        </w:rPr>
        <w:t>Name</w:t>
      </w:r>
    </w:p>
    <w:p w14:paraId="1FA71A96" w14:textId="1995C052" w:rsidR="00E821D8" w:rsidRDefault="00E821D8" w:rsidP="00E821D8">
      <w:pPr>
        <w:spacing w:after="0"/>
        <w:rPr>
          <w:lang w:val="en-US"/>
        </w:rPr>
      </w:pPr>
      <w:r>
        <w:rPr>
          <w:lang w:val="en-US"/>
        </w:rPr>
        <w:tab/>
      </w:r>
      <w:r>
        <w:rPr>
          <w:lang w:val="en-US"/>
        </w:rPr>
        <w:tab/>
      </w:r>
      <w:r w:rsidRPr="00E821D8">
        <w:rPr>
          <w:highlight w:val="yellow"/>
          <w:lang w:val="en-US"/>
        </w:rPr>
        <w:t>Address</w:t>
      </w:r>
    </w:p>
    <w:p w14:paraId="50288E83" w14:textId="23A67CC0" w:rsidR="008E7B60" w:rsidRDefault="00E821D8" w:rsidP="00E821D8">
      <w:pPr>
        <w:spacing w:after="0"/>
        <w:rPr>
          <w:lang w:val="en-US"/>
        </w:rPr>
      </w:pPr>
      <w:r>
        <w:rPr>
          <w:lang w:val="en-US"/>
        </w:rPr>
        <w:tab/>
      </w:r>
      <w:r>
        <w:rPr>
          <w:lang w:val="en-US"/>
        </w:rPr>
        <w:tab/>
      </w:r>
      <w:r w:rsidRPr="00E821D8">
        <w:rPr>
          <w:highlight w:val="yellow"/>
          <w:lang w:val="en-US"/>
        </w:rPr>
        <w:t>E-mail</w:t>
      </w:r>
      <w:r w:rsidR="00AF4F9A" w:rsidRPr="00F42B5B">
        <w:rPr>
          <w:lang w:val="en-US"/>
        </w:rPr>
        <w:t xml:space="preserve"> </w:t>
      </w:r>
    </w:p>
    <w:p w14:paraId="5CE4C164" w14:textId="77777777" w:rsidR="00F42B5B" w:rsidRPr="00F42B5B" w:rsidRDefault="00F42B5B" w:rsidP="00F42B5B">
      <w:pPr>
        <w:ind w:left="1304" w:firstLine="1304"/>
        <w:rPr>
          <w:lang w:val="en-US"/>
        </w:rPr>
      </w:pPr>
    </w:p>
    <w:p w14:paraId="61AACF2F" w14:textId="71402888" w:rsidR="00AF4F9A" w:rsidRDefault="008E7B60" w:rsidP="00F42B5B">
      <w:pPr>
        <w:spacing w:after="0"/>
        <w:rPr>
          <w:lang w:val="en-US"/>
        </w:rPr>
      </w:pPr>
      <w:r w:rsidRPr="00AF4F9A">
        <w:rPr>
          <w:b/>
          <w:lang w:val="en-US"/>
        </w:rPr>
        <w:t>Sponsor:</w:t>
      </w:r>
      <w:r w:rsidRPr="00AF4F9A">
        <w:rPr>
          <w:lang w:val="en-US"/>
        </w:rPr>
        <w:t xml:space="preserve"> </w:t>
      </w:r>
      <w:r w:rsidR="00AF4F9A">
        <w:rPr>
          <w:lang w:val="en-US"/>
        </w:rPr>
        <w:tab/>
      </w:r>
      <w:r w:rsidR="00F42B5B">
        <w:rPr>
          <w:lang w:val="en-US"/>
        </w:rPr>
        <w:tab/>
      </w:r>
      <w:r w:rsidRPr="00AF4F9A">
        <w:rPr>
          <w:lang w:val="en-US"/>
        </w:rPr>
        <w:t>Anders Perner</w:t>
      </w:r>
    </w:p>
    <w:p w14:paraId="6C1B0335" w14:textId="77777777" w:rsidR="00AF4F9A" w:rsidRDefault="00AF4F9A" w:rsidP="00F42B5B">
      <w:pPr>
        <w:spacing w:after="0"/>
        <w:ind w:left="1304" w:firstLine="1304"/>
        <w:rPr>
          <w:lang w:val="en-US"/>
        </w:rPr>
      </w:pPr>
      <w:r w:rsidRPr="00AF4F9A">
        <w:rPr>
          <w:lang w:val="en-US"/>
        </w:rPr>
        <w:t>Department ICU 4131</w:t>
      </w:r>
    </w:p>
    <w:p w14:paraId="17EA3BEF" w14:textId="7BEAFBA2" w:rsidR="00AF4F9A" w:rsidRPr="004B211C" w:rsidRDefault="00AF4F9A" w:rsidP="00F42B5B">
      <w:pPr>
        <w:spacing w:after="0"/>
        <w:ind w:left="1304" w:firstLine="1304"/>
      </w:pPr>
      <w:r w:rsidRPr="004B211C">
        <w:t>Copenhagen University Hospital Rigshospitalet</w:t>
      </w:r>
    </w:p>
    <w:p w14:paraId="00C477A2" w14:textId="46FE4E08" w:rsidR="00F42B5B" w:rsidRPr="00F42B5B" w:rsidRDefault="00F42B5B" w:rsidP="00F42B5B">
      <w:pPr>
        <w:spacing w:after="0"/>
        <w:ind w:left="1304" w:firstLine="1304"/>
      </w:pPr>
      <w:r w:rsidRPr="00F42B5B">
        <w:t>Blegdamsvej 9</w:t>
      </w:r>
    </w:p>
    <w:p w14:paraId="0328C36F" w14:textId="77777777" w:rsidR="00F42B5B" w:rsidRPr="004B211C" w:rsidRDefault="00F42B5B" w:rsidP="00F42B5B">
      <w:pPr>
        <w:spacing w:after="0"/>
        <w:ind w:left="1304" w:firstLine="1304"/>
        <w:rPr>
          <w:lang w:val="en-US"/>
        </w:rPr>
      </w:pPr>
      <w:r w:rsidRPr="004B211C">
        <w:rPr>
          <w:lang w:val="en-US"/>
        </w:rPr>
        <w:t xml:space="preserve">DK-2100 </w:t>
      </w:r>
      <w:r w:rsidR="008E7B60" w:rsidRPr="004B211C">
        <w:rPr>
          <w:lang w:val="en-US"/>
        </w:rPr>
        <w:t>Copenhagen</w:t>
      </w:r>
      <w:r w:rsidRPr="004B211C">
        <w:rPr>
          <w:lang w:val="en-US"/>
        </w:rPr>
        <w:t>, Denmark</w:t>
      </w:r>
    </w:p>
    <w:p w14:paraId="3007EB9F" w14:textId="0FBA183A" w:rsidR="008E7B60" w:rsidRPr="00F42B5B" w:rsidRDefault="00F42B5B" w:rsidP="00F42B5B">
      <w:pPr>
        <w:spacing w:after="0"/>
        <w:ind w:left="1304" w:firstLine="1304"/>
        <w:rPr>
          <w:lang w:val="en-US"/>
        </w:rPr>
      </w:pPr>
      <w:r w:rsidRPr="00F42B5B">
        <w:rPr>
          <w:lang w:val="en-US"/>
        </w:rPr>
        <w:lastRenderedPageBreak/>
        <w:t xml:space="preserve">E-mail: </w:t>
      </w:r>
      <w:hyperlink r:id="rId8" w:history="1">
        <w:r w:rsidR="00AF4F9A" w:rsidRPr="00F42B5B">
          <w:rPr>
            <w:rStyle w:val="Hyperlink"/>
            <w:lang w:val="en-US"/>
          </w:rPr>
          <w:t>anders.perner@regionh.dk</w:t>
        </w:r>
      </w:hyperlink>
      <w:r w:rsidR="00AF4F9A" w:rsidRPr="00F42B5B">
        <w:rPr>
          <w:lang w:val="en-US"/>
        </w:rPr>
        <w:t xml:space="preserve"> </w:t>
      </w:r>
    </w:p>
    <w:p w14:paraId="5958E802" w14:textId="6A99C948" w:rsidR="00AF4F9A" w:rsidRPr="00F42B5B" w:rsidRDefault="00AF4F9A">
      <w:pPr>
        <w:rPr>
          <w:lang w:val="en-US"/>
        </w:rPr>
      </w:pPr>
    </w:p>
    <w:p w14:paraId="28CBCACA" w14:textId="1EDA359A" w:rsidR="00AF4F9A" w:rsidRPr="00F42B5B" w:rsidRDefault="00F42B5B">
      <w:pPr>
        <w:rPr>
          <w:lang w:val="en-US"/>
        </w:rPr>
      </w:pPr>
      <w:r>
        <w:rPr>
          <w:b/>
          <w:lang w:val="en-US"/>
        </w:rPr>
        <w:t>Study-Centre</w:t>
      </w:r>
      <w:r>
        <w:rPr>
          <w:b/>
          <w:lang w:val="en-US"/>
        </w:rPr>
        <w:tab/>
      </w:r>
      <w:r>
        <w:rPr>
          <w:b/>
          <w:lang w:val="en-US"/>
        </w:rPr>
        <w:tab/>
      </w:r>
      <w:r>
        <w:rPr>
          <w:highlight w:val="yellow"/>
          <w:lang w:val="en-US"/>
        </w:rPr>
        <w:t>Sites i</w:t>
      </w:r>
      <w:r w:rsidRPr="00F42B5B">
        <w:rPr>
          <w:highlight w:val="yellow"/>
          <w:lang w:val="en-US"/>
        </w:rPr>
        <w:t>n total</w:t>
      </w:r>
      <w:r w:rsidR="00661577">
        <w:rPr>
          <w:highlight w:val="yellow"/>
          <w:lang w:val="en-US"/>
        </w:rPr>
        <w:t xml:space="preserve"> in </w:t>
      </w:r>
      <w:r w:rsidR="00E47FAB">
        <w:rPr>
          <w:highlight w:val="yellow"/>
          <w:lang w:val="en-US"/>
        </w:rPr>
        <w:t>(Country)</w:t>
      </w:r>
    </w:p>
    <w:p w14:paraId="4368BD3A" w14:textId="6145EF20" w:rsidR="00F42B5B" w:rsidRPr="00F42B5B" w:rsidRDefault="00F42B5B">
      <w:pPr>
        <w:rPr>
          <w:lang w:val="en-US"/>
        </w:rPr>
      </w:pPr>
      <w:r>
        <w:rPr>
          <w:b/>
          <w:lang w:val="en-US"/>
        </w:rPr>
        <w:t>Study Duration for Sweden</w:t>
      </w:r>
      <w:r>
        <w:rPr>
          <w:b/>
          <w:lang w:val="en-US"/>
        </w:rPr>
        <w:tab/>
      </w:r>
      <w:r w:rsidRPr="00F6408C">
        <w:rPr>
          <w:lang w:val="en-US"/>
        </w:rPr>
        <w:t xml:space="preserve">Approximately </w:t>
      </w:r>
      <w:r w:rsidR="00E47FAB" w:rsidRPr="00E47FAB">
        <w:rPr>
          <w:highlight w:val="yellow"/>
          <w:lang w:val="en-US"/>
        </w:rPr>
        <w:t>[]</w:t>
      </w:r>
      <w:r w:rsidRPr="00F6408C">
        <w:rPr>
          <w:lang w:val="en-US"/>
        </w:rPr>
        <w:t xml:space="preserve"> years, Recruitment approx. </w:t>
      </w:r>
      <w:r w:rsidR="00E47FAB" w:rsidRPr="00E47FAB">
        <w:rPr>
          <w:highlight w:val="yellow"/>
          <w:lang w:val="en-US"/>
        </w:rPr>
        <w:t>[]</w:t>
      </w:r>
      <w:r>
        <w:rPr>
          <w:lang w:val="en-US"/>
        </w:rPr>
        <w:t xml:space="preserve"> years</w:t>
      </w:r>
      <w:r w:rsidR="0056668A">
        <w:rPr>
          <w:lang w:val="en-US"/>
        </w:rPr>
        <w:t xml:space="preserve"> v  v</w:t>
      </w:r>
    </w:p>
    <w:p w14:paraId="4721A5A3" w14:textId="7EF3FE6B" w:rsidR="00AF4F9A" w:rsidRDefault="00F42B5B">
      <w:pPr>
        <w:rPr>
          <w:lang w:val="en-US"/>
        </w:rPr>
      </w:pPr>
      <w:r>
        <w:rPr>
          <w:b/>
          <w:lang w:val="en-US"/>
        </w:rPr>
        <w:t>Number of Patients</w:t>
      </w:r>
      <w:r>
        <w:rPr>
          <w:b/>
          <w:lang w:val="en-US"/>
        </w:rPr>
        <w:tab/>
      </w:r>
      <w:r w:rsidRPr="00F42B5B">
        <w:rPr>
          <w:highlight w:val="yellow"/>
          <w:lang w:val="en-US"/>
        </w:rPr>
        <w:t>[Estimated]</w:t>
      </w:r>
    </w:p>
    <w:p w14:paraId="1815861D" w14:textId="77777777" w:rsidR="00B94EB1" w:rsidRPr="00F42B5B" w:rsidRDefault="00B94EB1">
      <w:pPr>
        <w:rPr>
          <w:lang w:val="en-US"/>
        </w:rPr>
      </w:pPr>
    </w:p>
    <w:p w14:paraId="60B7D229" w14:textId="77777777" w:rsidR="00AC10FC" w:rsidRPr="00DE460D" w:rsidRDefault="00AC10FC" w:rsidP="00AC10FC">
      <w:pPr>
        <w:rPr>
          <w:b/>
          <w:sz w:val="20"/>
          <w:szCs w:val="20"/>
          <w:lang w:val="en-US"/>
        </w:rPr>
      </w:pPr>
      <w:r w:rsidRPr="00DE460D">
        <w:rPr>
          <w:b/>
          <w:sz w:val="20"/>
          <w:szCs w:val="20"/>
          <w:lang w:val="en-US"/>
        </w:rPr>
        <w:t>Confidentiality</w:t>
      </w:r>
    </w:p>
    <w:p w14:paraId="070661EA" w14:textId="77777777" w:rsidR="00AC10FC" w:rsidRPr="00DE460D" w:rsidRDefault="00AC10FC" w:rsidP="00AC10FC">
      <w:pPr>
        <w:rPr>
          <w:rFonts w:ascii="Calibri Light" w:hAnsi="Calibri Light" w:cs="Arial"/>
          <w:sz w:val="20"/>
          <w:szCs w:val="20"/>
          <w:lang w:val="en-GB"/>
        </w:rPr>
      </w:pPr>
      <w:r w:rsidRPr="00DE460D">
        <w:rPr>
          <w:rFonts w:ascii="Calibri Light" w:hAnsi="Calibri Light" w:cs="Arial"/>
          <w:sz w:val="20"/>
          <w:szCs w:val="20"/>
          <w:lang w:val="en-GB"/>
        </w:rPr>
        <w:t xml:space="preserve">Monitor will </w:t>
      </w:r>
      <w:r>
        <w:rPr>
          <w:rFonts w:ascii="Calibri Light" w:hAnsi="Calibri Light" w:cs="Arial"/>
          <w:sz w:val="20"/>
          <w:szCs w:val="20"/>
          <w:lang w:val="en-GB"/>
        </w:rPr>
        <w:t>work under</w:t>
      </w:r>
      <w:r w:rsidRPr="00DE460D">
        <w:rPr>
          <w:rFonts w:ascii="Calibri Light" w:hAnsi="Calibri Light" w:cs="Arial"/>
          <w:sz w:val="20"/>
          <w:szCs w:val="20"/>
          <w:lang w:val="en-GB"/>
        </w:rPr>
        <w:t xml:space="preserve"> strictly confidential</w:t>
      </w:r>
      <w:r>
        <w:rPr>
          <w:rFonts w:ascii="Calibri Light" w:hAnsi="Calibri Light" w:cs="Arial"/>
          <w:sz w:val="20"/>
          <w:szCs w:val="20"/>
          <w:lang w:val="en-GB"/>
        </w:rPr>
        <w:t xml:space="preserve"> conditions</w:t>
      </w:r>
      <w:r w:rsidRPr="00DE460D">
        <w:rPr>
          <w:rFonts w:ascii="Calibri Light" w:hAnsi="Calibri Light" w:cs="Arial"/>
          <w:sz w:val="20"/>
          <w:szCs w:val="20"/>
          <w:lang w:val="en-GB"/>
        </w:rPr>
        <w:t xml:space="preserve"> and will not use </w:t>
      </w:r>
      <w:r>
        <w:rPr>
          <w:rFonts w:ascii="Calibri Light" w:hAnsi="Calibri Light" w:cs="Arial"/>
          <w:sz w:val="20"/>
          <w:szCs w:val="20"/>
          <w:lang w:val="en-GB"/>
        </w:rPr>
        <w:t xml:space="preserve">the sources </w:t>
      </w:r>
      <w:r w:rsidRPr="00DE460D">
        <w:rPr>
          <w:rFonts w:ascii="Calibri Light" w:hAnsi="Calibri Light" w:cs="Arial"/>
          <w:sz w:val="20"/>
          <w:szCs w:val="20"/>
          <w:lang w:val="en-GB"/>
        </w:rPr>
        <w:t>for its own purpose or other than as described in the monitoring plan. For purposes</w:t>
      </w:r>
      <w:r>
        <w:rPr>
          <w:rFonts w:ascii="Calibri Light" w:hAnsi="Calibri Light" w:cs="Arial"/>
          <w:sz w:val="20"/>
          <w:szCs w:val="20"/>
          <w:lang w:val="en-GB"/>
        </w:rPr>
        <w:t xml:space="preserve"> (stated below)</w:t>
      </w:r>
      <w:r w:rsidRPr="00DE460D">
        <w:rPr>
          <w:rFonts w:ascii="Calibri Light" w:hAnsi="Calibri Light" w:cs="Arial"/>
          <w:sz w:val="20"/>
          <w:szCs w:val="20"/>
          <w:lang w:val="en-GB"/>
        </w:rPr>
        <w:t xml:space="preserve"> confidential information shall not include, and the obligations of confidentiality and use shall not apply to, information that: </w:t>
      </w:r>
    </w:p>
    <w:p w14:paraId="1AE6FA85" w14:textId="77777777" w:rsidR="00AC10FC" w:rsidRPr="00DE460D" w:rsidRDefault="00AC10FC" w:rsidP="00AC10FC">
      <w:pPr>
        <w:pStyle w:val="Listeafsnit"/>
        <w:numPr>
          <w:ilvl w:val="0"/>
          <w:numId w:val="6"/>
        </w:numPr>
        <w:rPr>
          <w:rFonts w:ascii="Calibri Light" w:hAnsi="Calibri Light" w:cs="Arial"/>
          <w:sz w:val="20"/>
          <w:szCs w:val="20"/>
          <w:lang w:val="en-GB"/>
        </w:rPr>
      </w:pPr>
      <w:r w:rsidRPr="00DE460D">
        <w:rPr>
          <w:rFonts w:ascii="Calibri Light" w:hAnsi="Calibri Light" w:cs="Arial"/>
          <w:sz w:val="20"/>
          <w:szCs w:val="20"/>
          <w:lang w:val="en-GB"/>
        </w:rPr>
        <w:t xml:space="preserve">is or becomes publicly available through no fault of </w:t>
      </w:r>
      <w:r w:rsidRPr="00DE460D">
        <w:rPr>
          <w:rFonts w:ascii="Calibri Light" w:hAnsi="Calibri Light" w:cs="Arial"/>
          <w:b/>
          <w:sz w:val="20"/>
          <w:szCs w:val="20"/>
          <w:lang w:val="en-GB"/>
        </w:rPr>
        <w:t>the monitor</w:t>
      </w:r>
      <w:r w:rsidRPr="00DE460D">
        <w:rPr>
          <w:rFonts w:ascii="Calibri Light" w:hAnsi="Calibri Light" w:cs="Arial"/>
          <w:sz w:val="20"/>
          <w:szCs w:val="20"/>
          <w:lang w:val="en-GB"/>
        </w:rPr>
        <w:t>,</w:t>
      </w:r>
    </w:p>
    <w:p w14:paraId="2A256FBF" w14:textId="77777777" w:rsidR="00AC10FC" w:rsidRDefault="00AC10FC" w:rsidP="00AC10FC">
      <w:pPr>
        <w:pStyle w:val="Listeafsnit"/>
        <w:numPr>
          <w:ilvl w:val="0"/>
          <w:numId w:val="6"/>
        </w:numPr>
        <w:rPr>
          <w:rFonts w:ascii="Calibri Light" w:hAnsi="Calibri Light" w:cs="Arial"/>
          <w:sz w:val="20"/>
          <w:szCs w:val="20"/>
          <w:lang w:val="en-GB"/>
        </w:rPr>
      </w:pPr>
      <w:r w:rsidRPr="00DE460D">
        <w:rPr>
          <w:rFonts w:ascii="Calibri Light" w:hAnsi="Calibri Light" w:cs="Arial"/>
          <w:sz w:val="20"/>
          <w:szCs w:val="20"/>
          <w:lang w:val="en-GB"/>
        </w:rPr>
        <w:t xml:space="preserve">is disclosed to </w:t>
      </w:r>
      <w:r w:rsidRPr="00DE460D">
        <w:rPr>
          <w:rFonts w:ascii="Calibri Light" w:hAnsi="Calibri Light" w:cs="Arial"/>
          <w:b/>
          <w:sz w:val="20"/>
          <w:szCs w:val="20"/>
          <w:lang w:val="en-GB"/>
        </w:rPr>
        <w:t>monitor</w:t>
      </w:r>
      <w:r w:rsidRPr="00DE460D">
        <w:rPr>
          <w:rFonts w:ascii="Calibri Light" w:hAnsi="Calibri Light"/>
          <w:color w:val="000000"/>
          <w:sz w:val="20"/>
          <w:szCs w:val="20"/>
          <w:lang w:val="en-US"/>
        </w:rPr>
        <w:t xml:space="preserve"> </w:t>
      </w:r>
      <w:r w:rsidRPr="00DE460D">
        <w:rPr>
          <w:rFonts w:ascii="Calibri Light" w:hAnsi="Calibri Light" w:cs="Arial"/>
          <w:sz w:val="20"/>
          <w:szCs w:val="20"/>
          <w:lang w:val="en-GB"/>
        </w:rPr>
        <w:t xml:space="preserve">by a third party, provided such third party possesses the legal right to disclose such information. </w:t>
      </w:r>
    </w:p>
    <w:p w14:paraId="793CCB66" w14:textId="77777777" w:rsidR="00AC10FC" w:rsidRPr="00F80BF0" w:rsidRDefault="00AC10FC" w:rsidP="00AC10FC">
      <w:pPr>
        <w:pStyle w:val="Listeafsnit"/>
        <w:numPr>
          <w:ilvl w:val="0"/>
          <w:numId w:val="6"/>
        </w:numPr>
        <w:rPr>
          <w:rFonts w:ascii="Calibri Light" w:hAnsi="Calibri Light" w:cs="Arial"/>
          <w:sz w:val="20"/>
          <w:szCs w:val="20"/>
          <w:lang w:val="en-GB"/>
        </w:rPr>
      </w:pPr>
      <w:r>
        <w:rPr>
          <w:rFonts w:asciiTheme="majorHAnsi" w:hAnsiTheme="majorHAnsi" w:cstheme="majorHAnsi"/>
          <w:sz w:val="20"/>
          <w:szCs w:val="20"/>
          <w:lang w:val="en-US"/>
        </w:rPr>
        <w:t>is</w:t>
      </w:r>
      <w:r w:rsidRPr="00F80BF0">
        <w:rPr>
          <w:rFonts w:asciiTheme="majorHAnsi" w:hAnsiTheme="majorHAnsi" w:cstheme="majorHAnsi"/>
          <w:sz w:val="20"/>
          <w:szCs w:val="20"/>
          <w:lang w:val="en-US"/>
        </w:rPr>
        <w:t xml:space="preserve"> demonstrated as independently developed or acquired by</w:t>
      </w:r>
      <w:r w:rsidRPr="00F80BF0">
        <w:rPr>
          <w:rFonts w:asciiTheme="majorHAnsi" w:hAnsiTheme="majorHAnsi" w:cstheme="majorHAnsi"/>
          <w:b/>
          <w:sz w:val="20"/>
          <w:szCs w:val="20"/>
          <w:lang w:val="en-US"/>
        </w:rPr>
        <w:t xml:space="preserve"> monitor</w:t>
      </w:r>
      <w:r w:rsidRPr="00F80BF0">
        <w:rPr>
          <w:rFonts w:asciiTheme="majorHAnsi" w:hAnsiTheme="majorHAnsi" w:cstheme="majorHAnsi"/>
          <w:sz w:val="20"/>
          <w:szCs w:val="20"/>
          <w:lang w:val="en-US"/>
        </w:rPr>
        <w:t xml:space="preserve"> </w:t>
      </w:r>
    </w:p>
    <w:p w14:paraId="2C54002B" w14:textId="77777777" w:rsidR="00AC10FC" w:rsidRPr="00F80BF0" w:rsidRDefault="00AC10FC" w:rsidP="00AC10FC">
      <w:pPr>
        <w:pStyle w:val="Listeafsnit"/>
        <w:numPr>
          <w:ilvl w:val="0"/>
          <w:numId w:val="6"/>
        </w:numPr>
        <w:rPr>
          <w:rFonts w:ascii="Calibri Light" w:hAnsi="Calibri Light" w:cs="Arial"/>
          <w:sz w:val="20"/>
          <w:szCs w:val="20"/>
          <w:lang w:val="en-GB"/>
        </w:rPr>
      </w:pPr>
      <w:r w:rsidRPr="00F80BF0">
        <w:rPr>
          <w:rFonts w:ascii="Calibri Light" w:hAnsi="Calibri Light" w:cs="Arial"/>
          <w:sz w:val="20"/>
          <w:szCs w:val="20"/>
          <w:lang w:val="en-GB"/>
        </w:rPr>
        <w:t xml:space="preserve">is already known to </w:t>
      </w:r>
      <w:r w:rsidRPr="00F80BF0">
        <w:rPr>
          <w:rFonts w:ascii="Calibri Light" w:hAnsi="Calibri Light" w:cs="Arial"/>
          <w:b/>
          <w:sz w:val="20"/>
          <w:szCs w:val="20"/>
          <w:lang w:val="en-GB"/>
        </w:rPr>
        <w:t>monitor</w:t>
      </w:r>
      <w:r w:rsidRPr="00F80BF0">
        <w:rPr>
          <w:rFonts w:ascii="Calibri Light" w:hAnsi="Calibri Light"/>
          <w:color w:val="000000"/>
          <w:sz w:val="20"/>
          <w:szCs w:val="20"/>
          <w:lang w:val="en-US"/>
        </w:rPr>
        <w:t xml:space="preserve"> </w:t>
      </w:r>
      <w:r w:rsidRPr="00F80BF0">
        <w:rPr>
          <w:rFonts w:ascii="Calibri Light" w:hAnsi="Calibri Light" w:cs="Arial"/>
          <w:sz w:val="20"/>
          <w:szCs w:val="20"/>
          <w:lang w:val="en-GB"/>
        </w:rPr>
        <w:t>as shown by its prior written records,</w:t>
      </w:r>
    </w:p>
    <w:p w14:paraId="2D972BB1" w14:textId="77777777" w:rsidR="00AC10FC" w:rsidRPr="00DE460D" w:rsidRDefault="00AC10FC" w:rsidP="00AC10FC">
      <w:pPr>
        <w:pStyle w:val="Listeafsnit"/>
        <w:numPr>
          <w:ilvl w:val="0"/>
          <w:numId w:val="6"/>
        </w:numPr>
        <w:rPr>
          <w:rFonts w:ascii="Calibri Light" w:hAnsi="Calibri Light" w:cs="Arial"/>
          <w:sz w:val="20"/>
          <w:szCs w:val="20"/>
          <w:lang w:val="en-GB"/>
        </w:rPr>
      </w:pPr>
      <w:r w:rsidRPr="00DE460D">
        <w:rPr>
          <w:rFonts w:ascii="Calibri Light" w:hAnsi="Calibri Light" w:cs="Arial"/>
          <w:sz w:val="20"/>
          <w:szCs w:val="20"/>
          <w:lang w:val="en-GB"/>
        </w:rPr>
        <w:t xml:space="preserve">is required to be disclosed by </w:t>
      </w:r>
      <w:r w:rsidRPr="00DE460D">
        <w:rPr>
          <w:rFonts w:ascii="Calibri Light" w:hAnsi="Calibri Light" w:cs="Arial"/>
          <w:b/>
          <w:sz w:val="20"/>
          <w:szCs w:val="20"/>
          <w:lang w:val="en-GB"/>
        </w:rPr>
        <w:t>monitor</w:t>
      </w:r>
      <w:r w:rsidRPr="00DE460D">
        <w:rPr>
          <w:rFonts w:ascii="Calibri Light" w:hAnsi="Calibri Light"/>
          <w:color w:val="000000"/>
          <w:sz w:val="20"/>
          <w:szCs w:val="20"/>
          <w:lang w:val="en-US"/>
        </w:rPr>
        <w:t xml:space="preserve"> </w:t>
      </w:r>
      <w:r w:rsidRPr="00DE460D">
        <w:rPr>
          <w:rFonts w:ascii="Calibri Light" w:hAnsi="Calibri Light" w:cs="Arial"/>
          <w:sz w:val="20"/>
          <w:szCs w:val="20"/>
          <w:lang w:val="en-GB"/>
        </w:rPr>
        <w:t>to administrative and regulatory bodies for the performance of the Services</w:t>
      </w:r>
    </w:p>
    <w:p w14:paraId="1B73F660" w14:textId="77777777" w:rsidR="00AC10FC" w:rsidRDefault="00AC10FC" w:rsidP="00AC10FC">
      <w:pPr>
        <w:pStyle w:val="Listeafsnit"/>
        <w:numPr>
          <w:ilvl w:val="0"/>
          <w:numId w:val="6"/>
        </w:numPr>
        <w:rPr>
          <w:rFonts w:ascii="Calibri Light" w:hAnsi="Calibri Light" w:cs="Arial"/>
          <w:sz w:val="20"/>
          <w:szCs w:val="20"/>
          <w:lang w:val="en-GB"/>
        </w:rPr>
      </w:pPr>
      <w:r w:rsidRPr="00DE460D">
        <w:rPr>
          <w:rFonts w:ascii="Calibri Light" w:hAnsi="Calibri Light" w:cs="Arial"/>
          <w:sz w:val="20"/>
          <w:szCs w:val="20"/>
          <w:lang w:val="en-GB"/>
        </w:rPr>
        <w:t xml:space="preserve">is required by law to be disclosed, in which case </w:t>
      </w:r>
      <w:r w:rsidRPr="00DE460D">
        <w:rPr>
          <w:rFonts w:ascii="Calibri Light" w:hAnsi="Calibri Light" w:cs="Arial"/>
          <w:b/>
          <w:sz w:val="20"/>
          <w:szCs w:val="20"/>
          <w:lang w:val="en-GB"/>
        </w:rPr>
        <w:t>monitor</w:t>
      </w:r>
      <w:r w:rsidRPr="00DE460D">
        <w:rPr>
          <w:rFonts w:ascii="Calibri Light" w:hAnsi="Calibri Light"/>
          <w:color w:val="000000"/>
          <w:sz w:val="20"/>
          <w:szCs w:val="20"/>
          <w:lang w:val="en-US"/>
        </w:rPr>
        <w:t xml:space="preserve"> </w:t>
      </w:r>
      <w:r w:rsidRPr="00DE460D">
        <w:rPr>
          <w:rFonts w:ascii="Calibri Light" w:hAnsi="Calibri Light" w:cs="Arial"/>
          <w:sz w:val="20"/>
          <w:szCs w:val="20"/>
          <w:lang w:val="en-GB"/>
        </w:rPr>
        <w:t xml:space="preserve">will inform as soon as possible at the latest within 24 hours since </w:t>
      </w:r>
      <w:r w:rsidRPr="00DE460D">
        <w:rPr>
          <w:rFonts w:ascii="Calibri Light" w:hAnsi="Calibri Light" w:cs="Arial"/>
          <w:b/>
          <w:sz w:val="20"/>
          <w:szCs w:val="20"/>
          <w:lang w:val="en-GB"/>
        </w:rPr>
        <w:t>monitor</w:t>
      </w:r>
      <w:r w:rsidRPr="00DE460D">
        <w:rPr>
          <w:rFonts w:ascii="Calibri Light" w:hAnsi="Calibri Light"/>
          <w:color w:val="000000"/>
          <w:sz w:val="20"/>
          <w:szCs w:val="20"/>
          <w:lang w:val="en-US"/>
        </w:rPr>
        <w:t xml:space="preserve"> </w:t>
      </w:r>
      <w:r w:rsidRPr="00DE460D">
        <w:rPr>
          <w:rFonts w:ascii="Calibri Light" w:hAnsi="Calibri Light" w:cs="Arial"/>
          <w:sz w:val="20"/>
          <w:szCs w:val="20"/>
          <w:lang w:val="en-GB"/>
        </w:rPr>
        <w:t>has been informed of any possible steps that might lead to such an event.</w:t>
      </w:r>
    </w:p>
    <w:p w14:paraId="4ABF88E1" w14:textId="77777777" w:rsidR="00AC10FC" w:rsidRPr="00DE460D" w:rsidRDefault="00AC10FC" w:rsidP="00AC10FC">
      <w:pPr>
        <w:pStyle w:val="Listeafsnit"/>
        <w:rPr>
          <w:rFonts w:ascii="Calibri Light" w:hAnsi="Calibri Light" w:cs="Arial"/>
          <w:sz w:val="20"/>
          <w:szCs w:val="20"/>
          <w:lang w:val="en-GB"/>
        </w:rPr>
      </w:pPr>
    </w:p>
    <w:p w14:paraId="30F30EEF" w14:textId="77777777" w:rsidR="00AC10FC" w:rsidRPr="00DE460D" w:rsidRDefault="00AC10FC" w:rsidP="00AC10FC">
      <w:pPr>
        <w:rPr>
          <w:rFonts w:ascii="Calibri Light" w:hAnsi="Calibri Light" w:cs="Arial"/>
          <w:sz w:val="20"/>
          <w:szCs w:val="20"/>
          <w:lang w:val="en-GB"/>
        </w:rPr>
      </w:pPr>
      <w:r w:rsidRPr="00DE460D">
        <w:rPr>
          <w:rFonts w:ascii="Calibri Light" w:hAnsi="Calibri Light" w:cs="Arial"/>
          <w:sz w:val="20"/>
          <w:szCs w:val="20"/>
          <w:lang w:val="en-GB"/>
        </w:rPr>
        <w:t xml:space="preserve">Notwithstanding the foregoing, </w:t>
      </w:r>
      <w:r w:rsidRPr="00DE460D">
        <w:rPr>
          <w:rFonts w:ascii="Calibri Light" w:hAnsi="Calibri Light" w:cs="Arial"/>
          <w:b/>
          <w:sz w:val="20"/>
          <w:szCs w:val="20"/>
          <w:lang w:val="en-GB"/>
        </w:rPr>
        <w:t>monitor</w:t>
      </w:r>
      <w:r w:rsidRPr="00DE460D">
        <w:rPr>
          <w:rFonts w:ascii="Calibri Light" w:hAnsi="Calibri Light"/>
          <w:color w:val="000000"/>
          <w:sz w:val="20"/>
          <w:szCs w:val="20"/>
          <w:lang w:val="en-US"/>
        </w:rPr>
        <w:t xml:space="preserve"> </w:t>
      </w:r>
      <w:r w:rsidRPr="00DE460D">
        <w:rPr>
          <w:rFonts w:ascii="Calibri Light" w:hAnsi="Calibri Light" w:cs="Arial"/>
          <w:sz w:val="20"/>
          <w:szCs w:val="20"/>
          <w:lang w:val="en-GB"/>
        </w:rPr>
        <w:t xml:space="preserve">may disclose the confidential information to other consultants </w:t>
      </w:r>
      <w:r w:rsidRPr="00DE460D">
        <w:rPr>
          <w:rFonts w:ascii="Calibri Light" w:hAnsi="Calibri Light"/>
          <w:color w:val="000000"/>
          <w:sz w:val="20"/>
          <w:szCs w:val="20"/>
          <w:lang w:val="en-US"/>
        </w:rPr>
        <w:t xml:space="preserve"> </w:t>
      </w:r>
      <w:r w:rsidRPr="00DE460D">
        <w:rPr>
          <w:rFonts w:ascii="Calibri Light" w:hAnsi="Calibri Light" w:cs="Arial"/>
          <w:sz w:val="20"/>
          <w:szCs w:val="20"/>
          <w:lang w:val="en-GB"/>
        </w:rPr>
        <w:t xml:space="preserve"> who have a legitimate need to know the confidential information for the purposes set forth in this Agreement.</w:t>
      </w:r>
    </w:p>
    <w:p w14:paraId="7790AF94" w14:textId="77777777" w:rsidR="00AC10FC" w:rsidRPr="00BF635B" w:rsidRDefault="00AC10FC" w:rsidP="00AC10FC">
      <w:pPr>
        <w:tabs>
          <w:tab w:val="left" w:pos="993"/>
        </w:tabs>
        <w:rPr>
          <w:rFonts w:ascii="Calibri Light" w:hAnsi="Calibri Light" w:cs="Arial"/>
          <w:snapToGrid w:val="0"/>
          <w:sz w:val="20"/>
          <w:szCs w:val="20"/>
          <w:lang w:val="en-GB"/>
        </w:rPr>
      </w:pPr>
      <w:r w:rsidRPr="00DE460D">
        <w:rPr>
          <w:rFonts w:ascii="Calibri Light" w:hAnsi="Calibri Light" w:cs="Arial"/>
          <w:snapToGrid w:val="0"/>
          <w:sz w:val="20"/>
          <w:szCs w:val="20"/>
          <w:lang w:val="en-GB"/>
        </w:rPr>
        <w:t xml:space="preserve">In the performance of the services pursuant to this Agreement, </w:t>
      </w:r>
      <w:r w:rsidRPr="00DE460D">
        <w:rPr>
          <w:rFonts w:ascii="Calibri Light" w:hAnsi="Calibri Light" w:cs="Arial"/>
          <w:b/>
          <w:sz w:val="20"/>
          <w:szCs w:val="20"/>
          <w:lang w:val="en-GB"/>
        </w:rPr>
        <w:t>monitor</w:t>
      </w:r>
      <w:r w:rsidRPr="00DE460D">
        <w:rPr>
          <w:rFonts w:ascii="Calibri Light" w:hAnsi="Calibri Light"/>
          <w:color w:val="000000"/>
          <w:sz w:val="20"/>
          <w:szCs w:val="20"/>
          <w:lang w:val="en-US"/>
        </w:rPr>
        <w:t xml:space="preserve"> </w:t>
      </w:r>
      <w:r w:rsidRPr="00DE460D">
        <w:rPr>
          <w:rFonts w:ascii="Calibri Light" w:hAnsi="Calibri Light" w:cs="Arial"/>
          <w:snapToGrid w:val="0"/>
          <w:sz w:val="20"/>
          <w:szCs w:val="20"/>
          <w:lang w:val="en-GB"/>
        </w:rPr>
        <w:t xml:space="preserve">may seek the collaboration of third parties. In any case </w:t>
      </w:r>
      <w:r w:rsidRPr="00DE460D">
        <w:rPr>
          <w:rFonts w:ascii="Calibri Light" w:hAnsi="Calibri Light" w:cs="Arial"/>
          <w:b/>
          <w:sz w:val="20"/>
          <w:szCs w:val="20"/>
          <w:lang w:val="en-GB"/>
        </w:rPr>
        <w:t>monitor</w:t>
      </w:r>
      <w:r w:rsidRPr="00DE460D">
        <w:rPr>
          <w:rFonts w:ascii="Calibri Light" w:hAnsi="Calibri Light"/>
          <w:color w:val="000000"/>
          <w:sz w:val="20"/>
          <w:szCs w:val="20"/>
          <w:lang w:val="en-US"/>
        </w:rPr>
        <w:t xml:space="preserve"> </w:t>
      </w:r>
      <w:r w:rsidRPr="00DE460D">
        <w:rPr>
          <w:rFonts w:ascii="Calibri Light" w:hAnsi="Calibri Light" w:cs="Arial"/>
          <w:snapToGrid w:val="0"/>
          <w:sz w:val="20"/>
          <w:szCs w:val="20"/>
          <w:lang w:val="en-GB"/>
        </w:rPr>
        <w:t xml:space="preserve">will be solely responsible of the performance of the services and has to get written consent beforehand from NI/Sponsor. </w:t>
      </w:r>
    </w:p>
    <w:p w14:paraId="04ACA8EB" w14:textId="77777777" w:rsidR="00AC10FC" w:rsidRPr="00DE460D" w:rsidRDefault="00AC10FC" w:rsidP="00AC10FC">
      <w:pPr>
        <w:spacing w:after="0" w:line="240" w:lineRule="auto"/>
        <w:ind w:right="69"/>
        <w:rPr>
          <w:rFonts w:ascii="Calibri" w:hAnsi="Calibri" w:cs="Arial"/>
          <w:b/>
          <w:sz w:val="20"/>
          <w:szCs w:val="20"/>
          <w:lang w:val="en-GB"/>
        </w:rPr>
      </w:pPr>
      <w:r w:rsidRPr="00DE460D">
        <w:rPr>
          <w:rFonts w:ascii="Calibri" w:hAnsi="Calibri" w:cs="Arial"/>
          <w:b/>
          <w:sz w:val="20"/>
          <w:szCs w:val="20"/>
          <w:lang w:val="en-GB"/>
        </w:rPr>
        <w:t>Term and Termination</w:t>
      </w:r>
    </w:p>
    <w:p w14:paraId="6ED9056D" w14:textId="77777777" w:rsidR="00AC10FC" w:rsidRPr="00DE460D" w:rsidRDefault="00AC10FC" w:rsidP="00AC10FC">
      <w:pPr>
        <w:spacing w:after="0" w:line="240" w:lineRule="auto"/>
        <w:ind w:right="69"/>
        <w:rPr>
          <w:rFonts w:ascii="Calibri" w:hAnsi="Calibri" w:cs="Arial"/>
          <w:sz w:val="20"/>
          <w:szCs w:val="20"/>
          <w:lang w:val="en-GB"/>
        </w:rPr>
      </w:pPr>
    </w:p>
    <w:p w14:paraId="16B2206F" w14:textId="77777777" w:rsidR="00AC10FC" w:rsidRPr="00DE460D" w:rsidRDefault="00AC10FC" w:rsidP="00AC10FC">
      <w:pPr>
        <w:spacing w:after="0" w:line="240" w:lineRule="auto"/>
        <w:ind w:right="69"/>
        <w:rPr>
          <w:rFonts w:ascii="Calibri" w:hAnsi="Calibri" w:cs="Arial"/>
          <w:sz w:val="20"/>
          <w:szCs w:val="20"/>
          <w:lang w:val="en-GB"/>
        </w:rPr>
      </w:pPr>
      <w:r w:rsidRPr="00DE460D">
        <w:rPr>
          <w:rFonts w:ascii="Calibri" w:hAnsi="Calibri" w:cs="Arial"/>
          <w:sz w:val="20"/>
          <w:szCs w:val="20"/>
          <w:lang w:val="en-GB"/>
        </w:rPr>
        <w:t>This contract will commence on the Effective Date and shall remain in effect until the end of the Services quoted under Monitor Duration or terminated by one of the Parties.</w:t>
      </w:r>
    </w:p>
    <w:p w14:paraId="4A930349" w14:textId="77777777" w:rsidR="00AC10FC" w:rsidRPr="00DE460D" w:rsidRDefault="00AC10FC" w:rsidP="00AC10FC">
      <w:pPr>
        <w:ind w:left="360" w:right="69"/>
        <w:rPr>
          <w:rFonts w:ascii="Calibri" w:hAnsi="Calibri" w:cs="Arial"/>
          <w:sz w:val="20"/>
          <w:szCs w:val="20"/>
          <w:lang w:val="en-GB"/>
        </w:rPr>
      </w:pPr>
    </w:p>
    <w:p w14:paraId="04F1F3DF" w14:textId="77777777" w:rsidR="00AC10FC" w:rsidRPr="00DE460D" w:rsidRDefault="00AC10FC" w:rsidP="00AC10FC">
      <w:pPr>
        <w:spacing w:after="0" w:line="240" w:lineRule="auto"/>
        <w:ind w:right="69"/>
        <w:rPr>
          <w:rFonts w:ascii="Calibri" w:hAnsi="Calibri" w:cs="Arial"/>
          <w:sz w:val="20"/>
          <w:szCs w:val="20"/>
          <w:lang w:val="en-GB"/>
        </w:rPr>
      </w:pPr>
      <w:r w:rsidRPr="00DE460D">
        <w:rPr>
          <w:rFonts w:ascii="Calibri" w:hAnsi="Calibri" w:cs="Arial"/>
          <w:sz w:val="20"/>
          <w:szCs w:val="20"/>
          <w:lang w:val="en-GB"/>
        </w:rPr>
        <w:t xml:space="preserve">Either Party may terminate the monitor plan in whole or in part, with or without cause, upon 30 (thirty) days advance written notice to the other Party. Upon termination, where practical, </w:t>
      </w:r>
      <w:r w:rsidRPr="00DE460D">
        <w:rPr>
          <w:rFonts w:ascii="Calibri" w:hAnsi="Calibri"/>
          <w:b/>
          <w:color w:val="000000"/>
          <w:sz w:val="20"/>
          <w:szCs w:val="20"/>
          <w:lang w:val="en-US"/>
        </w:rPr>
        <w:t xml:space="preserve">monitor, </w:t>
      </w:r>
      <w:r w:rsidRPr="00DE460D">
        <w:rPr>
          <w:rFonts w:ascii="Calibri" w:hAnsi="Calibri" w:cs="Arial"/>
          <w:sz w:val="20"/>
          <w:szCs w:val="20"/>
          <w:lang w:val="en-GB"/>
        </w:rPr>
        <w:t xml:space="preserve">will cease all work in progress without compromising the integrity or quality of the work in progress and bringing it to a logical conclusion, as agreed upon by the Parties. In this event, Sponsor will pay to </w:t>
      </w:r>
      <w:r w:rsidRPr="00DE460D">
        <w:rPr>
          <w:rFonts w:ascii="Calibri" w:hAnsi="Calibri"/>
          <w:b/>
          <w:color w:val="000000"/>
          <w:sz w:val="20"/>
          <w:szCs w:val="20"/>
          <w:lang w:val="en-US"/>
        </w:rPr>
        <w:t>monitor</w:t>
      </w:r>
      <w:r w:rsidRPr="00DE460D">
        <w:rPr>
          <w:rFonts w:ascii="Calibri" w:hAnsi="Calibri" w:cs="Arial"/>
          <w:sz w:val="20"/>
          <w:szCs w:val="20"/>
          <w:lang w:val="en-GB"/>
        </w:rPr>
        <w:t xml:space="preserve"> all sums owing for the Service carried out up until the termination.</w:t>
      </w:r>
    </w:p>
    <w:p w14:paraId="51255826" w14:textId="77777777" w:rsidR="00AC10FC" w:rsidRPr="00DE460D" w:rsidRDefault="00AC10FC" w:rsidP="00AC10FC">
      <w:pPr>
        <w:ind w:left="360" w:right="69"/>
        <w:rPr>
          <w:rFonts w:ascii="Calibri" w:hAnsi="Calibri" w:cs="Arial"/>
          <w:sz w:val="20"/>
          <w:szCs w:val="20"/>
          <w:lang w:val="en-GB"/>
        </w:rPr>
      </w:pPr>
    </w:p>
    <w:p w14:paraId="20B3951B" w14:textId="77777777" w:rsidR="00AC10FC" w:rsidRPr="00DE460D" w:rsidRDefault="00AC10FC" w:rsidP="00AC10FC">
      <w:pPr>
        <w:spacing w:after="0" w:line="240" w:lineRule="auto"/>
        <w:ind w:right="69"/>
        <w:rPr>
          <w:rFonts w:ascii="Calibri" w:hAnsi="Calibri" w:cs="Arial"/>
          <w:sz w:val="20"/>
          <w:szCs w:val="20"/>
          <w:lang w:val="en-GB"/>
        </w:rPr>
      </w:pPr>
      <w:r w:rsidRPr="00DE460D">
        <w:rPr>
          <w:rFonts w:ascii="Calibri" w:hAnsi="Calibri" w:cs="Arial"/>
          <w:sz w:val="20"/>
          <w:szCs w:val="20"/>
          <w:lang w:val="en-GB"/>
        </w:rPr>
        <w:t>Either Party shall have the right to withdraw from this contract, with an immediate effect, by serving written notice via registered mail with return receipt, if any of the following events occurs upon:</w:t>
      </w:r>
    </w:p>
    <w:p w14:paraId="246BE47B" w14:textId="77777777" w:rsidR="00AC10FC" w:rsidRPr="00DE460D" w:rsidRDefault="00AC10FC" w:rsidP="00AC10FC">
      <w:pPr>
        <w:numPr>
          <w:ilvl w:val="0"/>
          <w:numId w:val="5"/>
        </w:numPr>
        <w:spacing w:after="0" w:line="240" w:lineRule="auto"/>
        <w:ind w:right="69"/>
        <w:rPr>
          <w:rFonts w:ascii="Calibri" w:hAnsi="Calibri" w:cs="Arial"/>
          <w:sz w:val="20"/>
          <w:szCs w:val="20"/>
          <w:lang w:val="en-GB"/>
        </w:rPr>
      </w:pPr>
      <w:r w:rsidRPr="00DE460D">
        <w:rPr>
          <w:rFonts w:ascii="Calibri" w:hAnsi="Calibri" w:cs="Arial"/>
          <w:sz w:val="20"/>
          <w:szCs w:val="20"/>
          <w:lang w:val="en-GB"/>
        </w:rPr>
        <w:t>Insolvency;</w:t>
      </w:r>
    </w:p>
    <w:p w14:paraId="5A291AF3" w14:textId="77777777" w:rsidR="00AC10FC" w:rsidRPr="00FA6933" w:rsidRDefault="00AC10FC" w:rsidP="00AC10FC">
      <w:pPr>
        <w:numPr>
          <w:ilvl w:val="0"/>
          <w:numId w:val="5"/>
        </w:numPr>
        <w:spacing w:after="0" w:line="240" w:lineRule="auto"/>
        <w:ind w:right="69"/>
        <w:rPr>
          <w:rFonts w:ascii="Calibri" w:hAnsi="Calibri" w:cs="Arial"/>
          <w:sz w:val="20"/>
          <w:szCs w:val="20"/>
          <w:lang w:val="en-GB"/>
        </w:rPr>
      </w:pPr>
      <w:r w:rsidRPr="00DE460D">
        <w:rPr>
          <w:rFonts w:ascii="Calibri" w:hAnsi="Calibri" w:cs="Arial"/>
          <w:sz w:val="20"/>
          <w:szCs w:val="20"/>
          <w:lang w:val="en-GB"/>
        </w:rPr>
        <w:t>Declaration of bankruptcy.</w:t>
      </w:r>
    </w:p>
    <w:p w14:paraId="75FBB510" w14:textId="77777777" w:rsidR="00AC10FC" w:rsidRDefault="00AC10FC" w:rsidP="00AC10FC">
      <w:pPr>
        <w:ind w:right="69"/>
        <w:rPr>
          <w:rFonts w:ascii="Calibri" w:hAnsi="Calibri" w:cs="Arial"/>
          <w:sz w:val="20"/>
          <w:szCs w:val="20"/>
          <w:lang w:val="en-GB"/>
        </w:rPr>
      </w:pPr>
      <w:r w:rsidRPr="00DE460D">
        <w:rPr>
          <w:rFonts w:ascii="Calibri" w:hAnsi="Calibri" w:cs="Arial"/>
          <w:sz w:val="20"/>
          <w:szCs w:val="20"/>
          <w:lang w:val="en-GB"/>
        </w:rPr>
        <w:t>The withdrawal will take effect from the date on which the notification is delivered.</w:t>
      </w:r>
    </w:p>
    <w:p w14:paraId="545E3061" w14:textId="77777777" w:rsidR="00AC10FC" w:rsidRDefault="00AC10FC" w:rsidP="00AC10FC">
      <w:pPr>
        <w:ind w:right="69"/>
        <w:rPr>
          <w:rFonts w:ascii="Calibri" w:hAnsi="Calibri" w:cs="Arial"/>
          <w:sz w:val="20"/>
          <w:szCs w:val="20"/>
          <w:lang w:val="en-GB"/>
        </w:rPr>
      </w:pPr>
    </w:p>
    <w:p w14:paraId="3C72E5F6" w14:textId="77777777" w:rsidR="00AC10FC" w:rsidRDefault="00AC10FC" w:rsidP="00AC10FC">
      <w:pPr>
        <w:ind w:right="69"/>
        <w:rPr>
          <w:rFonts w:ascii="Calibri" w:hAnsi="Calibri" w:cs="Arial"/>
          <w:sz w:val="20"/>
          <w:szCs w:val="20"/>
          <w:lang w:val="en-GB"/>
        </w:rPr>
      </w:pPr>
    </w:p>
    <w:p w14:paraId="1EECD75A" w14:textId="77777777" w:rsidR="00AC10FC" w:rsidRPr="00CA2A36" w:rsidRDefault="00AC10FC" w:rsidP="00AC10FC">
      <w:pPr>
        <w:ind w:right="69"/>
        <w:rPr>
          <w:rFonts w:ascii="Calibri" w:hAnsi="Calibri" w:cs="Arial"/>
          <w:b/>
          <w:sz w:val="20"/>
          <w:szCs w:val="20"/>
          <w:lang w:val="en-GB"/>
        </w:rPr>
      </w:pPr>
      <w:r w:rsidRPr="00CA2A36">
        <w:rPr>
          <w:rFonts w:ascii="Calibri" w:hAnsi="Calibri" w:cs="Arial"/>
          <w:b/>
          <w:sz w:val="20"/>
          <w:szCs w:val="20"/>
          <w:lang w:val="en-GB"/>
        </w:rPr>
        <w:t>Data</w:t>
      </w:r>
    </w:p>
    <w:p w14:paraId="7F0E4805" w14:textId="77777777" w:rsidR="00AC10FC" w:rsidRPr="00CA2A36" w:rsidRDefault="00AC10FC" w:rsidP="00AC10FC">
      <w:pPr>
        <w:rPr>
          <w:rFonts w:ascii="Calibri" w:hAnsi="Calibri" w:cs="Arial"/>
          <w:sz w:val="20"/>
          <w:szCs w:val="20"/>
          <w:lang w:val="en-US"/>
        </w:rPr>
      </w:pPr>
      <w:r w:rsidRPr="00CA2A36">
        <w:rPr>
          <w:rFonts w:ascii="Calibri" w:hAnsi="Calibri" w:cs="Arial"/>
          <w:sz w:val="20"/>
          <w:szCs w:val="20"/>
          <w:lang w:val="en-US"/>
        </w:rPr>
        <w:t>The Parties agree to comply with Applicable Law, hereunder the EU General Data Protection Regulation, throughout the term of the Agreement.  It is the responsibility of each Party to effect and maintain all inventories and registrations for the processing of personal data as required under Applicable Law. The Parties shall cooperate and assist each other with respect to any data protection impact assessments and/or prior consultations with government authorities that may be required in respect to processing that is carried out under the Agreement.</w:t>
      </w:r>
    </w:p>
    <w:p w14:paraId="61EDEE16" w14:textId="77777777" w:rsidR="00AC10FC" w:rsidRPr="008B6554" w:rsidRDefault="00AC10FC" w:rsidP="00AC10FC">
      <w:pPr>
        <w:ind w:right="69"/>
        <w:rPr>
          <w:rFonts w:ascii="Calibri" w:hAnsi="Calibri" w:cs="Arial"/>
          <w:b/>
          <w:sz w:val="20"/>
          <w:szCs w:val="20"/>
          <w:lang w:val="en-GB"/>
        </w:rPr>
      </w:pPr>
      <w:r w:rsidRPr="008B6554">
        <w:rPr>
          <w:rFonts w:ascii="Calibri" w:hAnsi="Calibri" w:cs="Arial"/>
          <w:b/>
          <w:sz w:val="20"/>
          <w:szCs w:val="20"/>
          <w:lang w:val="en-GB"/>
        </w:rPr>
        <w:t>Law and venue</w:t>
      </w:r>
    </w:p>
    <w:p w14:paraId="7FD3AF02" w14:textId="77777777" w:rsidR="00AC10FC" w:rsidRPr="00DE460D" w:rsidRDefault="00AC10FC" w:rsidP="00AC10FC">
      <w:pPr>
        <w:ind w:right="69"/>
        <w:rPr>
          <w:rFonts w:ascii="Calibri" w:hAnsi="Calibri" w:cs="Arial"/>
          <w:sz w:val="20"/>
          <w:szCs w:val="20"/>
          <w:lang w:val="en-GB"/>
        </w:rPr>
      </w:pPr>
      <w:r w:rsidRPr="008B6554">
        <w:rPr>
          <w:rFonts w:ascii="Calibri" w:hAnsi="Calibri" w:cs="Arial"/>
          <w:sz w:val="20"/>
          <w:szCs w:val="20"/>
          <w:lang w:val="en-GB"/>
        </w:rPr>
        <w:t>In the event of any dispute arising between the Parties in relation to the terms of this Agreement, the Parties shall use their best endeavours to resolve the matter on an amicable basis. This Agreement shall be governed by and shall be construed in accordance with the laws of Denmark without regard to any conflicts of law’s provisions. The Parties consent to the competent courts of Denmark for the resolution of all disputes or controversies between the Parties hereto that the Parties are unable to settle amicably.</w:t>
      </w:r>
    </w:p>
    <w:p w14:paraId="74A45E05" w14:textId="77777777" w:rsidR="00AC10FC" w:rsidRDefault="00AC10FC">
      <w:pPr>
        <w:rPr>
          <w:lang w:val="en-US"/>
        </w:rPr>
      </w:pPr>
      <w:bookmarkStart w:id="0" w:name="_GoBack"/>
      <w:bookmarkEnd w:id="0"/>
      <w:r>
        <w:rPr>
          <w:lang w:val="en-US"/>
        </w:rPr>
        <w:br w:type="page"/>
      </w:r>
    </w:p>
    <w:p w14:paraId="2D707DB9" w14:textId="07DE425B" w:rsidR="006F7AA6" w:rsidRPr="006F7AA6" w:rsidRDefault="0007601C">
      <w:pPr>
        <w:rPr>
          <w:lang w:val="en-US"/>
        </w:rPr>
      </w:pPr>
      <w:r>
        <w:rPr>
          <w:lang w:val="en-US"/>
        </w:rPr>
        <w:lastRenderedPageBreak/>
        <w:t xml:space="preserve">The services will be paid for by CRIC and the invoice is to be send to </w:t>
      </w:r>
      <w:hyperlink r:id="rId9" w:history="1">
        <w:r w:rsidRPr="00541ECF">
          <w:rPr>
            <w:rStyle w:val="Hyperlink"/>
            <w:lang w:val="en-US"/>
          </w:rPr>
          <w:t>contact@cric.nu</w:t>
        </w:r>
      </w:hyperlink>
      <w:r>
        <w:rPr>
          <w:lang w:val="en-US"/>
        </w:rPr>
        <w:t>. You may need the following information:</w:t>
      </w:r>
      <w:r w:rsidR="00252BFD">
        <w:rPr>
          <w:lang w:val="en-US"/>
        </w:rPr>
        <w:t xml:space="preserve"> </w:t>
      </w:r>
      <w:r>
        <w:rPr>
          <w:lang w:val="en-US"/>
        </w:rPr>
        <w:t xml:space="preserve">VAT </w:t>
      </w:r>
      <w:r w:rsidR="00E75D5D">
        <w:rPr>
          <w:lang w:val="en-US"/>
        </w:rPr>
        <w:t>DK</w:t>
      </w:r>
      <w:r>
        <w:rPr>
          <w:lang w:val="en-US"/>
        </w:rPr>
        <w:t xml:space="preserve">30167686 </w:t>
      </w:r>
    </w:p>
    <w:tbl>
      <w:tblPr>
        <w:tblStyle w:val="Tabel-Gitter"/>
        <w:tblW w:w="9628" w:type="dxa"/>
        <w:tblLook w:val="04A0" w:firstRow="1" w:lastRow="0" w:firstColumn="1" w:lastColumn="0" w:noHBand="0" w:noVBand="1"/>
      </w:tblPr>
      <w:tblGrid>
        <w:gridCol w:w="3388"/>
        <w:gridCol w:w="1427"/>
        <w:gridCol w:w="1559"/>
        <w:gridCol w:w="1701"/>
        <w:gridCol w:w="1553"/>
      </w:tblGrid>
      <w:tr w:rsidR="00831C52" w:rsidRPr="004B3E02" w14:paraId="61349D6A" w14:textId="5FEDEB99" w:rsidTr="00831C52">
        <w:trPr>
          <w:trHeight w:val="253"/>
        </w:trPr>
        <w:tc>
          <w:tcPr>
            <w:tcW w:w="3388" w:type="dxa"/>
          </w:tcPr>
          <w:p w14:paraId="32D02769" w14:textId="021B95F5" w:rsidR="00831C52" w:rsidRPr="004B3E02" w:rsidRDefault="00831C52">
            <w:pPr>
              <w:rPr>
                <w:b/>
                <w:lang w:val="en-US"/>
              </w:rPr>
            </w:pPr>
            <w:r w:rsidRPr="004B3E02">
              <w:rPr>
                <w:b/>
                <w:lang w:val="en-US"/>
              </w:rPr>
              <w:t>Monitoring</w:t>
            </w:r>
          </w:p>
        </w:tc>
        <w:tc>
          <w:tcPr>
            <w:tcW w:w="1427" w:type="dxa"/>
          </w:tcPr>
          <w:p w14:paraId="7684B7D7" w14:textId="0D92F832" w:rsidR="00831C52" w:rsidRPr="004B3E02" w:rsidRDefault="00831C52" w:rsidP="00831C52">
            <w:pPr>
              <w:rPr>
                <w:b/>
                <w:lang w:val="en-US"/>
              </w:rPr>
            </w:pPr>
            <w:r>
              <w:rPr>
                <w:b/>
                <w:lang w:val="en-US"/>
              </w:rPr>
              <w:t>Hours per study-</w:t>
            </w:r>
            <w:r w:rsidR="004B211C">
              <w:rPr>
                <w:b/>
                <w:lang w:val="en-US"/>
              </w:rPr>
              <w:t>Centre</w:t>
            </w:r>
          </w:p>
        </w:tc>
        <w:tc>
          <w:tcPr>
            <w:tcW w:w="1559" w:type="dxa"/>
          </w:tcPr>
          <w:p w14:paraId="6058BEEA" w14:textId="25CA4163" w:rsidR="00831C52" w:rsidRPr="004B3E02" w:rsidRDefault="00831C52" w:rsidP="006F7AA6">
            <w:pPr>
              <w:jc w:val="center"/>
              <w:rPr>
                <w:b/>
                <w:lang w:val="en-US"/>
              </w:rPr>
            </w:pPr>
            <w:r>
              <w:rPr>
                <w:b/>
                <w:lang w:val="en-US"/>
              </w:rPr>
              <w:t>Hours for all study-</w:t>
            </w:r>
            <w:r w:rsidR="004B211C">
              <w:rPr>
                <w:b/>
                <w:lang w:val="en-US"/>
              </w:rPr>
              <w:t>centers</w:t>
            </w:r>
          </w:p>
        </w:tc>
        <w:tc>
          <w:tcPr>
            <w:tcW w:w="1701" w:type="dxa"/>
          </w:tcPr>
          <w:p w14:paraId="5C8DA4FF" w14:textId="79FAA7FD" w:rsidR="00831C52" w:rsidRPr="004B3E02" w:rsidRDefault="00831C52" w:rsidP="00831C52">
            <w:pPr>
              <w:rPr>
                <w:b/>
                <w:lang w:val="en-US"/>
              </w:rPr>
            </w:pPr>
            <w:r w:rsidRPr="004B3E02">
              <w:rPr>
                <w:b/>
                <w:lang w:val="en-US"/>
              </w:rPr>
              <w:t>An hours</w:t>
            </w:r>
            <w:r>
              <w:rPr>
                <w:b/>
                <w:lang w:val="en-US"/>
              </w:rPr>
              <w:t xml:space="preserve"> </w:t>
            </w:r>
            <w:r w:rsidRPr="004B3E02">
              <w:rPr>
                <w:b/>
                <w:lang w:val="en-US"/>
              </w:rPr>
              <w:t>(EUR)</w:t>
            </w:r>
          </w:p>
        </w:tc>
        <w:tc>
          <w:tcPr>
            <w:tcW w:w="1553" w:type="dxa"/>
          </w:tcPr>
          <w:p w14:paraId="77A34439" w14:textId="77777777" w:rsidR="00831C52" w:rsidRDefault="00831C52" w:rsidP="006F7AA6">
            <w:pPr>
              <w:jc w:val="center"/>
              <w:rPr>
                <w:b/>
                <w:lang w:val="en-US"/>
              </w:rPr>
            </w:pPr>
            <w:r>
              <w:rPr>
                <w:b/>
                <w:lang w:val="en-US"/>
              </w:rPr>
              <w:t xml:space="preserve">EUR </w:t>
            </w:r>
          </w:p>
          <w:p w14:paraId="45742FDD" w14:textId="7D2AF003" w:rsidR="009759DE" w:rsidRPr="004B3E02" w:rsidRDefault="009759DE" w:rsidP="006F7AA6">
            <w:pPr>
              <w:jc w:val="center"/>
              <w:rPr>
                <w:b/>
                <w:lang w:val="en-US"/>
              </w:rPr>
            </w:pPr>
          </w:p>
        </w:tc>
      </w:tr>
      <w:tr w:rsidR="00831C52" w14:paraId="076D3B73" w14:textId="155D0A14" w:rsidTr="00831C52">
        <w:trPr>
          <w:trHeight w:val="746"/>
        </w:trPr>
        <w:tc>
          <w:tcPr>
            <w:tcW w:w="3388" w:type="dxa"/>
          </w:tcPr>
          <w:p w14:paraId="0146E18F" w14:textId="77777777" w:rsidR="00831C52" w:rsidRPr="004B3E02" w:rsidRDefault="00831C52">
            <w:pPr>
              <w:rPr>
                <w:b/>
                <w:lang w:val="en-US"/>
              </w:rPr>
            </w:pPr>
            <w:r w:rsidRPr="004B3E02">
              <w:rPr>
                <w:b/>
                <w:lang w:val="en-US"/>
              </w:rPr>
              <w:t xml:space="preserve">Monitoring set-up </w:t>
            </w:r>
          </w:p>
          <w:p w14:paraId="3A87CBB7" w14:textId="77548A34" w:rsidR="00831C52" w:rsidRDefault="00831C52">
            <w:pPr>
              <w:rPr>
                <w:lang w:val="en-US"/>
              </w:rPr>
            </w:pPr>
            <w:r>
              <w:rPr>
                <w:lang w:val="en-US"/>
              </w:rPr>
              <w:t>(incl. reading of Study-Protocol, CRF, Monitoring Plan), first contact with responsible study-coordinator/Sponsor and site.</w:t>
            </w:r>
          </w:p>
        </w:tc>
        <w:tc>
          <w:tcPr>
            <w:tcW w:w="1427" w:type="dxa"/>
          </w:tcPr>
          <w:p w14:paraId="36EA244E" w14:textId="77777777" w:rsidR="00831C52" w:rsidRDefault="00831C52" w:rsidP="006F7AA6">
            <w:pPr>
              <w:jc w:val="center"/>
              <w:rPr>
                <w:lang w:val="en-US"/>
              </w:rPr>
            </w:pPr>
          </w:p>
          <w:p w14:paraId="069F0E04" w14:textId="2255A67D" w:rsidR="00831C52" w:rsidRDefault="00831C52" w:rsidP="006F7AA6">
            <w:pPr>
              <w:jc w:val="center"/>
              <w:rPr>
                <w:lang w:val="en-US"/>
              </w:rPr>
            </w:pPr>
          </w:p>
        </w:tc>
        <w:tc>
          <w:tcPr>
            <w:tcW w:w="1559" w:type="dxa"/>
          </w:tcPr>
          <w:p w14:paraId="539EA162" w14:textId="77777777" w:rsidR="00831C52" w:rsidRDefault="00831C52" w:rsidP="006F7AA6">
            <w:pPr>
              <w:jc w:val="center"/>
              <w:rPr>
                <w:lang w:val="en-US"/>
              </w:rPr>
            </w:pPr>
          </w:p>
          <w:p w14:paraId="090D0F6A" w14:textId="5CE94077" w:rsidR="00831C52" w:rsidRDefault="00D01E60" w:rsidP="006F7AA6">
            <w:pPr>
              <w:jc w:val="center"/>
              <w:rPr>
                <w:lang w:val="en-US"/>
              </w:rPr>
            </w:pPr>
            <w:r>
              <w:rPr>
                <w:lang w:val="en-US"/>
              </w:rPr>
              <w:t>20</w:t>
            </w:r>
          </w:p>
        </w:tc>
        <w:tc>
          <w:tcPr>
            <w:tcW w:w="1701" w:type="dxa"/>
          </w:tcPr>
          <w:p w14:paraId="5B3F63D3" w14:textId="77777777" w:rsidR="00831C52" w:rsidRDefault="00831C52" w:rsidP="006F7AA6">
            <w:pPr>
              <w:jc w:val="center"/>
              <w:rPr>
                <w:lang w:val="en-US"/>
              </w:rPr>
            </w:pPr>
          </w:p>
          <w:p w14:paraId="1EE95D76" w14:textId="628CDC5E" w:rsidR="00D40F82" w:rsidRDefault="00D40F82" w:rsidP="006F7AA6">
            <w:pPr>
              <w:jc w:val="center"/>
              <w:rPr>
                <w:lang w:val="en-US"/>
              </w:rPr>
            </w:pPr>
          </w:p>
        </w:tc>
        <w:tc>
          <w:tcPr>
            <w:tcW w:w="1553" w:type="dxa"/>
          </w:tcPr>
          <w:p w14:paraId="2D585E1C" w14:textId="77777777" w:rsidR="00831C52" w:rsidRDefault="00831C52" w:rsidP="006F7AA6">
            <w:pPr>
              <w:jc w:val="center"/>
              <w:rPr>
                <w:lang w:val="en-US"/>
              </w:rPr>
            </w:pPr>
          </w:p>
        </w:tc>
      </w:tr>
      <w:tr w:rsidR="00831C52" w:rsidRPr="004B3E02" w14:paraId="273E980F" w14:textId="17F87CA9" w:rsidTr="00831C52">
        <w:trPr>
          <w:trHeight w:val="238"/>
        </w:trPr>
        <w:tc>
          <w:tcPr>
            <w:tcW w:w="3388" w:type="dxa"/>
          </w:tcPr>
          <w:p w14:paraId="40052729" w14:textId="6739C399" w:rsidR="00831C52" w:rsidRDefault="00831C52">
            <w:pPr>
              <w:rPr>
                <w:lang w:val="en-US"/>
              </w:rPr>
            </w:pPr>
            <w:r w:rsidRPr="00D01E60">
              <w:rPr>
                <w:b/>
                <w:lang w:val="en-US"/>
              </w:rPr>
              <w:t>Site Initiation Visit</w:t>
            </w:r>
            <w:r w:rsidR="00D01E60" w:rsidRPr="00D01E60">
              <w:rPr>
                <w:b/>
                <w:lang w:val="en-US"/>
              </w:rPr>
              <w:t xml:space="preserve"> </w:t>
            </w:r>
            <w:r w:rsidR="00D40F82">
              <w:rPr>
                <w:b/>
                <w:lang w:val="en-US"/>
              </w:rPr>
              <w:t>(</w:t>
            </w:r>
            <w:r w:rsidR="00D40F82">
              <w:rPr>
                <w:lang w:val="en-US"/>
              </w:rPr>
              <w:t>first contact with responsible study-coordinator/Sponsor and site)</w:t>
            </w:r>
            <w:r w:rsidR="00D01E60">
              <w:rPr>
                <w:lang w:val="en-US"/>
              </w:rPr>
              <w:t xml:space="preserve">. </w:t>
            </w:r>
          </w:p>
        </w:tc>
        <w:tc>
          <w:tcPr>
            <w:tcW w:w="1427" w:type="dxa"/>
          </w:tcPr>
          <w:p w14:paraId="4E1A3524" w14:textId="77777777" w:rsidR="00831C52" w:rsidRDefault="00831C52" w:rsidP="006F7AA6">
            <w:pPr>
              <w:jc w:val="center"/>
              <w:rPr>
                <w:lang w:val="en-US"/>
              </w:rPr>
            </w:pPr>
          </w:p>
          <w:p w14:paraId="20BC2684" w14:textId="5975C94F" w:rsidR="00831C52" w:rsidRDefault="00831C52" w:rsidP="006F7AA6">
            <w:pPr>
              <w:jc w:val="center"/>
              <w:rPr>
                <w:lang w:val="en-US"/>
              </w:rPr>
            </w:pPr>
          </w:p>
        </w:tc>
        <w:tc>
          <w:tcPr>
            <w:tcW w:w="1559" w:type="dxa"/>
          </w:tcPr>
          <w:p w14:paraId="47BFF94E" w14:textId="77777777" w:rsidR="00831C52" w:rsidRDefault="00831C52" w:rsidP="006F7AA6">
            <w:pPr>
              <w:jc w:val="center"/>
              <w:rPr>
                <w:lang w:val="en-US"/>
              </w:rPr>
            </w:pPr>
          </w:p>
          <w:p w14:paraId="24E3A00B" w14:textId="6DA4C30E" w:rsidR="00D01E60" w:rsidRDefault="00D01E60" w:rsidP="006F7AA6">
            <w:pPr>
              <w:jc w:val="center"/>
              <w:rPr>
                <w:lang w:val="en-US"/>
              </w:rPr>
            </w:pPr>
            <w:r>
              <w:rPr>
                <w:lang w:val="en-US"/>
              </w:rPr>
              <w:t>10</w:t>
            </w:r>
          </w:p>
        </w:tc>
        <w:tc>
          <w:tcPr>
            <w:tcW w:w="1701" w:type="dxa"/>
          </w:tcPr>
          <w:p w14:paraId="5D114337" w14:textId="77777777" w:rsidR="00831C52" w:rsidRDefault="00831C52" w:rsidP="006F7AA6">
            <w:pPr>
              <w:jc w:val="center"/>
              <w:rPr>
                <w:lang w:val="en-US"/>
              </w:rPr>
            </w:pPr>
          </w:p>
          <w:p w14:paraId="6D1E4887" w14:textId="50EEDE16" w:rsidR="00D40F82" w:rsidRDefault="00D40F82" w:rsidP="006F7AA6">
            <w:pPr>
              <w:jc w:val="center"/>
              <w:rPr>
                <w:lang w:val="en-US"/>
              </w:rPr>
            </w:pPr>
          </w:p>
        </w:tc>
        <w:tc>
          <w:tcPr>
            <w:tcW w:w="1553" w:type="dxa"/>
          </w:tcPr>
          <w:p w14:paraId="32D31904" w14:textId="77777777" w:rsidR="00831C52" w:rsidRDefault="00831C52" w:rsidP="006F7AA6">
            <w:pPr>
              <w:jc w:val="center"/>
              <w:rPr>
                <w:lang w:val="en-US"/>
              </w:rPr>
            </w:pPr>
          </w:p>
        </w:tc>
      </w:tr>
      <w:tr w:rsidR="00D01E60" w:rsidRPr="00D01E60" w14:paraId="4E3F04A2" w14:textId="77777777" w:rsidTr="00831C52">
        <w:trPr>
          <w:trHeight w:val="238"/>
        </w:trPr>
        <w:tc>
          <w:tcPr>
            <w:tcW w:w="3388" w:type="dxa"/>
          </w:tcPr>
          <w:p w14:paraId="36A03241" w14:textId="444DB7FB" w:rsidR="00D01E60" w:rsidRDefault="00D01E60">
            <w:pPr>
              <w:rPr>
                <w:b/>
                <w:lang w:val="en-US"/>
              </w:rPr>
            </w:pPr>
            <w:r>
              <w:rPr>
                <w:b/>
                <w:lang w:val="en-US"/>
              </w:rPr>
              <w:t xml:space="preserve">Site Initiation Visit </w:t>
            </w:r>
            <w:r w:rsidRPr="00D01E60">
              <w:rPr>
                <w:lang w:val="en-US"/>
              </w:rPr>
              <w:t>(Other Sites)</w:t>
            </w:r>
          </w:p>
          <w:p w14:paraId="15289F17" w14:textId="487B7B0B" w:rsidR="00D01E60" w:rsidRPr="00D01E60" w:rsidRDefault="00D01E60">
            <w:pPr>
              <w:rPr>
                <w:lang w:val="en-US"/>
              </w:rPr>
            </w:pPr>
            <w:r>
              <w:rPr>
                <w:lang w:val="en-US"/>
              </w:rPr>
              <w:t>Incl. preparing and follow-up reporting.</w:t>
            </w:r>
          </w:p>
        </w:tc>
        <w:tc>
          <w:tcPr>
            <w:tcW w:w="1427" w:type="dxa"/>
          </w:tcPr>
          <w:p w14:paraId="34FC691C" w14:textId="77777777" w:rsidR="00D01E60" w:rsidRDefault="00D01E60" w:rsidP="006F7AA6">
            <w:pPr>
              <w:jc w:val="center"/>
              <w:rPr>
                <w:lang w:val="en-US"/>
              </w:rPr>
            </w:pPr>
          </w:p>
          <w:p w14:paraId="526C02D5" w14:textId="38E1440D" w:rsidR="00D01E60" w:rsidRDefault="00D01E60" w:rsidP="006F7AA6">
            <w:pPr>
              <w:jc w:val="center"/>
              <w:rPr>
                <w:lang w:val="en-US"/>
              </w:rPr>
            </w:pPr>
            <w:r>
              <w:rPr>
                <w:lang w:val="en-US"/>
              </w:rPr>
              <w:t>6</w:t>
            </w:r>
          </w:p>
        </w:tc>
        <w:tc>
          <w:tcPr>
            <w:tcW w:w="1559" w:type="dxa"/>
          </w:tcPr>
          <w:p w14:paraId="14B5782D" w14:textId="77777777" w:rsidR="00D01E60" w:rsidRDefault="00D01E60" w:rsidP="006F7AA6">
            <w:pPr>
              <w:jc w:val="center"/>
              <w:rPr>
                <w:lang w:val="en-US"/>
              </w:rPr>
            </w:pPr>
          </w:p>
        </w:tc>
        <w:tc>
          <w:tcPr>
            <w:tcW w:w="1701" w:type="dxa"/>
          </w:tcPr>
          <w:p w14:paraId="571337B1" w14:textId="77777777" w:rsidR="00D01E60" w:rsidRDefault="00D01E60" w:rsidP="006F7AA6">
            <w:pPr>
              <w:jc w:val="center"/>
              <w:rPr>
                <w:lang w:val="en-US"/>
              </w:rPr>
            </w:pPr>
          </w:p>
          <w:p w14:paraId="10D0252D" w14:textId="76CAC6F5" w:rsidR="00D40F82" w:rsidRDefault="00D40F82" w:rsidP="006F7AA6">
            <w:pPr>
              <w:jc w:val="center"/>
              <w:rPr>
                <w:lang w:val="en-US"/>
              </w:rPr>
            </w:pPr>
          </w:p>
        </w:tc>
        <w:tc>
          <w:tcPr>
            <w:tcW w:w="1553" w:type="dxa"/>
          </w:tcPr>
          <w:p w14:paraId="1C2EE61F" w14:textId="77777777" w:rsidR="00D01E60" w:rsidRDefault="00D01E60" w:rsidP="006F7AA6">
            <w:pPr>
              <w:jc w:val="center"/>
              <w:rPr>
                <w:lang w:val="en-US"/>
              </w:rPr>
            </w:pPr>
          </w:p>
        </w:tc>
      </w:tr>
      <w:tr w:rsidR="00831C52" w:rsidRPr="004B3E02" w14:paraId="4064AF8F" w14:textId="67737C14" w:rsidTr="00831C52">
        <w:trPr>
          <w:trHeight w:val="238"/>
        </w:trPr>
        <w:tc>
          <w:tcPr>
            <w:tcW w:w="3388" w:type="dxa"/>
          </w:tcPr>
          <w:p w14:paraId="3726A8B2" w14:textId="55DFFB25" w:rsidR="00831C52" w:rsidRPr="004B3E02" w:rsidRDefault="00831C52">
            <w:pPr>
              <w:rPr>
                <w:lang w:val="en-US"/>
              </w:rPr>
            </w:pPr>
            <w:r w:rsidRPr="004B3E02">
              <w:rPr>
                <w:b/>
                <w:lang w:val="en-US"/>
              </w:rPr>
              <w:t>Monitoring Visits</w:t>
            </w:r>
          </w:p>
          <w:p w14:paraId="3F16C58A" w14:textId="263070F2" w:rsidR="00831C52" w:rsidRDefault="00D6216C">
            <w:pPr>
              <w:rPr>
                <w:lang w:val="en-US"/>
              </w:rPr>
            </w:pPr>
            <w:r>
              <w:rPr>
                <w:lang w:val="en-US"/>
              </w:rPr>
              <w:t>Two visits (levels) i</w:t>
            </w:r>
            <w:r w:rsidR="00831C52" w:rsidRPr="004B3E02">
              <w:rPr>
                <w:lang w:val="en-US"/>
              </w:rPr>
              <w:t>ncl. pre-processing and reporting</w:t>
            </w:r>
          </w:p>
          <w:p w14:paraId="2B69C19E" w14:textId="77777777" w:rsidR="00D6216C" w:rsidRDefault="00D6216C">
            <w:pPr>
              <w:rPr>
                <w:lang w:val="en-US"/>
              </w:rPr>
            </w:pPr>
          </w:p>
          <w:p w14:paraId="340B7573" w14:textId="77777777" w:rsidR="004B211C" w:rsidRDefault="004B211C" w:rsidP="004B211C">
            <w:pPr>
              <w:rPr>
                <w:lang w:val="en-US"/>
              </w:rPr>
            </w:pPr>
            <w:r>
              <w:rPr>
                <w:b/>
                <w:lang w:val="en-US"/>
              </w:rPr>
              <w:t>*</w:t>
            </w:r>
            <w:r w:rsidR="00831C52" w:rsidRPr="004B211C">
              <w:rPr>
                <w:b/>
                <w:lang w:val="en-US"/>
              </w:rPr>
              <w:t>Level I</w:t>
            </w:r>
            <w:r w:rsidR="00831C52">
              <w:rPr>
                <w:lang w:val="en-US"/>
              </w:rPr>
              <w:t xml:space="preserve"> </w:t>
            </w:r>
            <w:r>
              <w:rPr>
                <w:lang w:val="en-US"/>
              </w:rPr>
              <w:t>Systematic data verification of all data in the case report form. Applies to the first 3 trial participants and hereafter until a total of 10% of participants for each trial site has been monitored.</w:t>
            </w:r>
          </w:p>
          <w:p w14:paraId="67A9AA3C" w14:textId="03BFFEE9" w:rsidR="00831C52" w:rsidRPr="004B3E02" w:rsidRDefault="00831C52" w:rsidP="004B3E02">
            <w:pPr>
              <w:rPr>
                <w:lang w:val="en-US"/>
              </w:rPr>
            </w:pPr>
          </w:p>
          <w:p w14:paraId="2739FAA0" w14:textId="77777777" w:rsidR="004B211C" w:rsidRDefault="004B211C" w:rsidP="004B211C">
            <w:pPr>
              <w:rPr>
                <w:lang w:val="en-US"/>
              </w:rPr>
            </w:pPr>
            <w:r>
              <w:rPr>
                <w:b/>
                <w:lang w:val="en-US"/>
              </w:rPr>
              <w:t>*</w:t>
            </w:r>
            <w:r w:rsidR="00831C52" w:rsidRPr="004B211C">
              <w:rPr>
                <w:b/>
                <w:lang w:val="en-US"/>
              </w:rPr>
              <w:t>Level II</w:t>
            </w:r>
            <w:r w:rsidR="00831C52">
              <w:rPr>
                <w:lang w:val="en-US"/>
              </w:rPr>
              <w:t xml:space="preserve"> </w:t>
            </w:r>
            <w:r>
              <w:rPr>
                <w:lang w:val="en-US"/>
              </w:rPr>
              <w:t>Selected data on all trial participants, who has not been selected for “Level I”</w:t>
            </w:r>
          </w:p>
          <w:p w14:paraId="0239F17B" w14:textId="04722522" w:rsidR="004B211C" w:rsidRPr="004B211C" w:rsidRDefault="004B211C" w:rsidP="004B3E02">
            <w:pPr>
              <w:rPr>
                <w:lang w:val="en-US"/>
              </w:rPr>
            </w:pPr>
            <w:r>
              <w:rPr>
                <w:lang w:val="en-US"/>
              </w:rPr>
              <w:t>Levels of monitoring visits are explained in detail in CLASSIC Data Verification Plan.</w:t>
            </w:r>
          </w:p>
        </w:tc>
        <w:tc>
          <w:tcPr>
            <w:tcW w:w="1427" w:type="dxa"/>
          </w:tcPr>
          <w:p w14:paraId="5BBC376C" w14:textId="77777777" w:rsidR="00831C52" w:rsidRDefault="00831C52" w:rsidP="006F7AA6">
            <w:pPr>
              <w:jc w:val="center"/>
              <w:rPr>
                <w:lang w:val="en-US"/>
              </w:rPr>
            </w:pPr>
          </w:p>
          <w:p w14:paraId="5E369690" w14:textId="77777777" w:rsidR="00831C52" w:rsidRDefault="00831C52" w:rsidP="006F7AA6">
            <w:pPr>
              <w:jc w:val="center"/>
              <w:rPr>
                <w:lang w:val="en-US"/>
              </w:rPr>
            </w:pPr>
          </w:p>
          <w:p w14:paraId="0B828EA9" w14:textId="77777777" w:rsidR="00831C52" w:rsidRDefault="00831C52" w:rsidP="006F7AA6">
            <w:pPr>
              <w:jc w:val="center"/>
              <w:rPr>
                <w:lang w:val="en-US"/>
              </w:rPr>
            </w:pPr>
          </w:p>
          <w:p w14:paraId="7B67E69C" w14:textId="77777777" w:rsidR="00D6216C" w:rsidRDefault="00D6216C" w:rsidP="006F7AA6">
            <w:pPr>
              <w:jc w:val="center"/>
              <w:rPr>
                <w:lang w:val="en-US"/>
              </w:rPr>
            </w:pPr>
          </w:p>
          <w:p w14:paraId="12938747" w14:textId="77777777" w:rsidR="00D6216C" w:rsidRDefault="00D6216C" w:rsidP="006F7AA6">
            <w:pPr>
              <w:jc w:val="center"/>
              <w:rPr>
                <w:lang w:val="en-US"/>
              </w:rPr>
            </w:pPr>
          </w:p>
          <w:p w14:paraId="083E9420" w14:textId="77777777" w:rsidR="00D6216C" w:rsidRDefault="00D6216C" w:rsidP="006F7AA6">
            <w:pPr>
              <w:jc w:val="center"/>
              <w:rPr>
                <w:lang w:val="en-US"/>
              </w:rPr>
            </w:pPr>
          </w:p>
          <w:p w14:paraId="713482D6" w14:textId="13358BBD" w:rsidR="00D6216C" w:rsidRDefault="00D6216C" w:rsidP="006F7AA6">
            <w:pPr>
              <w:jc w:val="center"/>
              <w:rPr>
                <w:lang w:val="en-US"/>
              </w:rPr>
            </w:pPr>
            <w:r>
              <w:rPr>
                <w:lang w:val="en-US"/>
              </w:rPr>
              <w:t>16</w:t>
            </w:r>
          </w:p>
          <w:p w14:paraId="4BC3BD45" w14:textId="77777777" w:rsidR="00D6216C" w:rsidRDefault="00D6216C" w:rsidP="006F7AA6">
            <w:pPr>
              <w:jc w:val="center"/>
              <w:rPr>
                <w:lang w:val="en-US"/>
              </w:rPr>
            </w:pPr>
          </w:p>
          <w:p w14:paraId="6561D18C" w14:textId="77777777" w:rsidR="00D6216C" w:rsidRDefault="00D6216C" w:rsidP="00D6216C">
            <w:pPr>
              <w:rPr>
                <w:lang w:val="en-US"/>
              </w:rPr>
            </w:pPr>
          </w:p>
          <w:p w14:paraId="3EB2C2CA" w14:textId="77777777" w:rsidR="00D6216C" w:rsidRDefault="00D6216C" w:rsidP="006F7AA6">
            <w:pPr>
              <w:jc w:val="center"/>
              <w:rPr>
                <w:lang w:val="en-US"/>
              </w:rPr>
            </w:pPr>
          </w:p>
          <w:p w14:paraId="53BF9C6D" w14:textId="77777777" w:rsidR="00D6216C" w:rsidRDefault="00D6216C" w:rsidP="006F7AA6">
            <w:pPr>
              <w:jc w:val="center"/>
              <w:rPr>
                <w:lang w:val="en-US"/>
              </w:rPr>
            </w:pPr>
          </w:p>
          <w:p w14:paraId="68AD828F" w14:textId="77777777" w:rsidR="00D6216C" w:rsidRDefault="00D6216C" w:rsidP="006F7AA6">
            <w:pPr>
              <w:jc w:val="center"/>
              <w:rPr>
                <w:lang w:val="en-US"/>
              </w:rPr>
            </w:pPr>
          </w:p>
          <w:p w14:paraId="58C4C15C" w14:textId="77777777" w:rsidR="00D6216C" w:rsidRDefault="00D6216C" w:rsidP="006F7AA6">
            <w:pPr>
              <w:jc w:val="center"/>
              <w:rPr>
                <w:lang w:val="en-US"/>
              </w:rPr>
            </w:pPr>
          </w:p>
          <w:p w14:paraId="5B3C6407" w14:textId="77777777" w:rsidR="00D6216C" w:rsidRDefault="00D6216C" w:rsidP="006F7AA6">
            <w:pPr>
              <w:jc w:val="center"/>
              <w:rPr>
                <w:lang w:val="en-US"/>
              </w:rPr>
            </w:pPr>
          </w:p>
          <w:p w14:paraId="5744E856" w14:textId="77777777" w:rsidR="00D6216C" w:rsidRDefault="00D6216C" w:rsidP="006F7AA6">
            <w:pPr>
              <w:jc w:val="center"/>
              <w:rPr>
                <w:lang w:val="en-US"/>
              </w:rPr>
            </w:pPr>
          </w:p>
          <w:p w14:paraId="03F1A905" w14:textId="0215E657" w:rsidR="00D6216C" w:rsidRDefault="00123EFB" w:rsidP="006F7AA6">
            <w:pPr>
              <w:jc w:val="center"/>
              <w:rPr>
                <w:lang w:val="en-US"/>
              </w:rPr>
            </w:pPr>
            <w:r>
              <w:rPr>
                <w:lang w:val="en-US"/>
              </w:rPr>
              <w:t>30</w:t>
            </w:r>
          </w:p>
        </w:tc>
        <w:tc>
          <w:tcPr>
            <w:tcW w:w="1559" w:type="dxa"/>
          </w:tcPr>
          <w:p w14:paraId="7A0CA772" w14:textId="77777777" w:rsidR="00831C52" w:rsidRDefault="00831C52" w:rsidP="006F7AA6">
            <w:pPr>
              <w:jc w:val="center"/>
              <w:rPr>
                <w:lang w:val="en-US"/>
              </w:rPr>
            </w:pPr>
          </w:p>
        </w:tc>
        <w:tc>
          <w:tcPr>
            <w:tcW w:w="1701" w:type="dxa"/>
          </w:tcPr>
          <w:p w14:paraId="0B9AE766" w14:textId="77777777" w:rsidR="00831C52" w:rsidRDefault="00831C52" w:rsidP="006F7AA6">
            <w:pPr>
              <w:jc w:val="center"/>
              <w:rPr>
                <w:lang w:val="en-US"/>
              </w:rPr>
            </w:pPr>
          </w:p>
          <w:p w14:paraId="6F8D4AAD" w14:textId="77777777" w:rsidR="00D40F82" w:rsidRDefault="00D40F82" w:rsidP="006F7AA6">
            <w:pPr>
              <w:jc w:val="center"/>
              <w:rPr>
                <w:lang w:val="en-US"/>
              </w:rPr>
            </w:pPr>
          </w:p>
          <w:p w14:paraId="5A39FFBF" w14:textId="77777777" w:rsidR="00D40F82" w:rsidRDefault="00D40F82" w:rsidP="006F7AA6">
            <w:pPr>
              <w:jc w:val="center"/>
              <w:rPr>
                <w:lang w:val="en-US"/>
              </w:rPr>
            </w:pPr>
          </w:p>
          <w:p w14:paraId="0B2ACBC5" w14:textId="77777777" w:rsidR="00D40F82" w:rsidRDefault="00D40F82" w:rsidP="006F7AA6">
            <w:pPr>
              <w:jc w:val="center"/>
              <w:rPr>
                <w:lang w:val="en-US"/>
              </w:rPr>
            </w:pPr>
          </w:p>
          <w:p w14:paraId="12502D45" w14:textId="77777777" w:rsidR="00D40F82" w:rsidRDefault="00D40F82" w:rsidP="006F7AA6">
            <w:pPr>
              <w:jc w:val="center"/>
              <w:rPr>
                <w:lang w:val="en-US"/>
              </w:rPr>
            </w:pPr>
          </w:p>
          <w:p w14:paraId="058A01C1" w14:textId="77777777" w:rsidR="00D40F82" w:rsidRDefault="00D40F82" w:rsidP="006F7AA6">
            <w:pPr>
              <w:jc w:val="center"/>
              <w:rPr>
                <w:lang w:val="en-US"/>
              </w:rPr>
            </w:pPr>
          </w:p>
          <w:p w14:paraId="2FF47082" w14:textId="77777777" w:rsidR="00D40F82" w:rsidRDefault="00D40F82" w:rsidP="006F7AA6">
            <w:pPr>
              <w:jc w:val="center"/>
              <w:rPr>
                <w:lang w:val="en-US"/>
              </w:rPr>
            </w:pPr>
          </w:p>
          <w:p w14:paraId="6D78CC55" w14:textId="77777777" w:rsidR="00D40F82" w:rsidRDefault="00D40F82" w:rsidP="006F7AA6">
            <w:pPr>
              <w:jc w:val="center"/>
              <w:rPr>
                <w:lang w:val="en-US"/>
              </w:rPr>
            </w:pPr>
          </w:p>
          <w:p w14:paraId="18EF2EC7" w14:textId="77777777" w:rsidR="00D40F82" w:rsidRDefault="00D40F82" w:rsidP="006F7AA6">
            <w:pPr>
              <w:jc w:val="center"/>
              <w:rPr>
                <w:lang w:val="en-US"/>
              </w:rPr>
            </w:pPr>
          </w:p>
          <w:p w14:paraId="4862F4F7" w14:textId="77777777" w:rsidR="00D40F82" w:rsidRDefault="00D40F82" w:rsidP="006F7AA6">
            <w:pPr>
              <w:jc w:val="center"/>
              <w:rPr>
                <w:lang w:val="en-US"/>
              </w:rPr>
            </w:pPr>
          </w:p>
          <w:p w14:paraId="533CABB3" w14:textId="77777777" w:rsidR="00D40F82" w:rsidRDefault="00D40F82" w:rsidP="006F7AA6">
            <w:pPr>
              <w:jc w:val="center"/>
              <w:rPr>
                <w:lang w:val="en-US"/>
              </w:rPr>
            </w:pPr>
          </w:p>
          <w:p w14:paraId="19C989BD" w14:textId="77777777" w:rsidR="00D40F82" w:rsidRDefault="00D40F82" w:rsidP="006F7AA6">
            <w:pPr>
              <w:jc w:val="center"/>
              <w:rPr>
                <w:lang w:val="en-US"/>
              </w:rPr>
            </w:pPr>
          </w:p>
          <w:p w14:paraId="54C53B44" w14:textId="77777777" w:rsidR="00D40F82" w:rsidRDefault="00D40F82" w:rsidP="006F7AA6">
            <w:pPr>
              <w:jc w:val="center"/>
              <w:rPr>
                <w:lang w:val="en-US"/>
              </w:rPr>
            </w:pPr>
          </w:p>
          <w:p w14:paraId="1268CD00" w14:textId="77777777" w:rsidR="00D40F82" w:rsidRDefault="00D40F82" w:rsidP="006F7AA6">
            <w:pPr>
              <w:jc w:val="center"/>
              <w:rPr>
                <w:lang w:val="en-US"/>
              </w:rPr>
            </w:pPr>
          </w:p>
          <w:p w14:paraId="68EDE28B" w14:textId="5C3FA475" w:rsidR="00D40F82" w:rsidRDefault="00D40F82" w:rsidP="006F7AA6">
            <w:pPr>
              <w:jc w:val="center"/>
              <w:rPr>
                <w:lang w:val="en-US"/>
              </w:rPr>
            </w:pPr>
          </w:p>
        </w:tc>
        <w:tc>
          <w:tcPr>
            <w:tcW w:w="1553" w:type="dxa"/>
          </w:tcPr>
          <w:p w14:paraId="546BEBFF" w14:textId="77777777" w:rsidR="00831C52" w:rsidRDefault="00831C52" w:rsidP="006F7AA6">
            <w:pPr>
              <w:jc w:val="center"/>
              <w:rPr>
                <w:lang w:val="en-US"/>
              </w:rPr>
            </w:pPr>
          </w:p>
        </w:tc>
      </w:tr>
      <w:tr w:rsidR="00831C52" w:rsidRPr="004B3E02" w14:paraId="58C6F570" w14:textId="4B498295" w:rsidTr="00831C52">
        <w:trPr>
          <w:trHeight w:val="238"/>
        </w:trPr>
        <w:tc>
          <w:tcPr>
            <w:tcW w:w="3388" w:type="dxa"/>
          </w:tcPr>
          <w:p w14:paraId="4B4A91B7" w14:textId="77777777" w:rsidR="00831C52" w:rsidRDefault="00831C52">
            <w:pPr>
              <w:rPr>
                <w:b/>
                <w:lang w:val="en-US"/>
              </w:rPr>
            </w:pPr>
            <w:r w:rsidRPr="004B3E02">
              <w:rPr>
                <w:b/>
                <w:lang w:val="en-US"/>
              </w:rPr>
              <w:t>Close-Out Visit</w:t>
            </w:r>
          </w:p>
          <w:p w14:paraId="1AEED00C" w14:textId="553F60C6" w:rsidR="00831C52" w:rsidRPr="004B3E02" w:rsidRDefault="00831C52">
            <w:pPr>
              <w:rPr>
                <w:lang w:val="en-US"/>
              </w:rPr>
            </w:pPr>
            <w:r>
              <w:rPr>
                <w:lang w:val="en-US"/>
              </w:rPr>
              <w:t>1 Study-</w:t>
            </w:r>
            <w:r w:rsidR="004B211C">
              <w:rPr>
                <w:lang w:val="en-US"/>
              </w:rPr>
              <w:t>Centre</w:t>
            </w:r>
            <w:r>
              <w:rPr>
                <w:lang w:val="en-US"/>
              </w:rPr>
              <w:t>, 1 visit á 16 hours (incl. preparing and follow-up reporting)</w:t>
            </w:r>
          </w:p>
        </w:tc>
        <w:tc>
          <w:tcPr>
            <w:tcW w:w="1427" w:type="dxa"/>
          </w:tcPr>
          <w:p w14:paraId="7119C979" w14:textId="77777777" w:rsidR="00831C52" w:rsidRDefault="00831C52" w:rsidP="006F7AA6">
            <w:pPr>
              <w:jc w:val="center"/>
              <w:rPr>
                <w:lang w:val="en-US"/>
              </w:rPr>
            </w:pPr>
          </w:p>
          <w:p w14:paraId="56B01A66" w14:textId="3ADB5039" w:rsidR="00831C52" w:rsidRDefault="00123EFB" w:rsidP="006F7AA6">
            <w:pPr>
              <w:jc w:val="center"/>
              <w:rPr>
                <w:lang w:val="en-US"/>
              </w:rPr>
            </w:pPr>
            <w:r>
              <w:rPr>
                <w:lang w:val="en-US"/>
              </w:rPr>
              <w:t>2</w:t>
            </w:r>
          </w:p>
        </w:tc>
        <w:tc>
          <w:tcPr>
            <w:tcW w:w="1559" w:type="dxa"/>
          </w:tcPr>
          <w:p w14:paraId="2F8A093C" w14:textId="77777777" w:rsidR="00831C52" w:rsidRDefault="00831C52" w:rsidP="006F7AA6">
            <w:pPr>
              <w:jc w:val="center"/>
              <w:rPr>
                <w:lang w:val="en-US"/>
              </w:rPr>
            </w:pPr>
          </w:p>
        </w:tc>
        <w:tc>
          <w:tcPr>
            <w:tcW w:w="1701" w:type="dxa"/>
          </w:tcPr>
          <w:p w14:paraId="77B6DC49" w14:textId="77777777" w:rsidR="00831C52" w:rsidRDefault="00831C52" w:rsidP="006F7AA6">
            <w:pPr>
              <w:jc w:val="center"/>
              <w:rPr>
                <w:lang w:val="en-US"/>
              </w:rPr>
            </w:pPr>
          </w:p>
          <w:p w14:paraId="3CF1A42E" w14:textId="1094F54C" w:rsidR="00D40F82" w:rsidRDefault="00D40F82" w:rsidP="006F7AA6">
            <w:pPr>
              <w:jc w:val="center"/>
              <w:rPr>
                <w:lang w:val="en-US"/>
              </w:rPr>
            </w:pPr>
          </w:p>
        </w:tc>
        <w:tc>
          <w:tcPr>
            <w:tcW w:w="1553" w:type="dxa"/>
          </w:tcPr>
          <w:p w14:paraId="5E236C03" w14:textId="77777777" w:rsidR="00831C52" w:rsidRDefault="00831C52" w:rsidP="006F7AA6">
            <w:pPr>
              <w:jc w:val="center"/>
              <w:rPr>
                <w:lang w:val="en-US"/>
              </w:rPr>
            </w:pPr>
          </w:p>
        </w:tc>
      </w:tr>
      <w:tr w:rsidR="00831C52" w:rsidRPr="004B3E02" w14:paraId="4CE63A8A" w14:textId="77777777" w:rsidTr="00831C52">
        <w:trPr>
          <w:trHeight w:val="238"/>
        </w:trPr>
        <w:tc>
          <w:tcPr>
            <w:tcW w:w="3388" w:type="dxa"/>
          </w:tcPr>
          <w:p w14:paraId="0FA55B22" w14:textId="000A5E44" w:rsidR="00831C52" w:rsidRPr="004B3E02" w:rsidRDefault="00831C52">
            <w:pPr>
              <w:rPr>
                <w:b/>
                <w:lang w:val="en-US"/>
              </w:rPr>
            </w:pPr>
            <w:r>
              <w:rPr>
                <w:b/>
                <w:lang w:val="en-US"/>
              </w:rPr>
              <w:t>Total</w:t>
            </w:r>
          </w:p>
        </w:tc>
        <w:tc>
          <w:tcPr>
            <w:tcW w:w="1427" w:type="dxa"/>
          </w:tcPr>
          <w:p w14:paraId="55A5EBD6" w14:textId="47D12F0D" w:rsidR="00831C52" w:rsidRDefault="00D40F82" w:rsidP="006F7AA6">
            <w:pPr>
              <w:jc w:val="center"/>
              <w:rPr>
                <w:lang w:val="en-US"/>
              </w:rPr>
            </w:pPr>
            <w:r>
              <w:rPr>
                <w:lang w:val="en-US"/>
              </w:rPr>
              <w:t>54</w:t>
            </w:r>
          </w:p>
        </w:tc>
        <w:tc>
          <w:tcPr>
            <w:tcW w:w="1559" w:type="dxa"/>
          </w:tcPr>
          <w:p w14:paraId="59554B54" w14:textId="2C3A46FA" w:rsidR="00831C52" w:rsidRDefault="00831C52" w:rsidP="006F7AA6">
            <w:pPr>
              <w:jc w:val="center"/>
              <w:rPr>
                <w:lang w:val="en-US"/>
              </w:rPr>
            </w:pPr>
          </w:p>
        </w:tc>
        <w:tc>
          <w:tcPr>
            <w:tcW w:w="1701" w:type="dxa"/>
          </w:tcPr>
          <w:p w14:paraId="3837C682" w14:textId="77777777" w:rsidR="00831C52" w:rsidRDefault="00831C52" w:rsidP="006F7AA6">
            <w:pPr>
              <w:jc w:val="center"/>
              <w:rPr>
                <w:lang w:val="en-US"/>
              </w:rPr>
            </w:pPr>
          </w:p>
        </w:tc>
        <w:tc>
          <w:tcPr>
            <w:tcW w:w="1553" w:type="dxa"/>
          </w:tcPr>
          <w:p w14:paraId="4EC73FC5" w14:textId="23638F49" w:rsidR="00831C52" w:rsidRDefault="00831C52" w:rsidP="006F7AA6">
            <w:pPr>
              <w:jc w:val="center"/>
              <w:rPr>
                <w:lang w:val="en-US"/>
              </w:rPr>
            </w:pPr>
          </w:p>
        </w:tc>
      </w:tr>
    </w:tbl>
    <w:p w14:paraId="13F13FF9" w14:textId="3B7FC8CD" w:rsidR="006F7AA6" w:rsidRPr="004B211C" w:rsidRDefault="004B211C" w:rsidP="004B211C">
      <w:pPr>
        <w:rPr>
          <w:lang w:val="en-US"/>
        </w:rPr>
      </w:pPr>
      <w:r w:rsidRPr="00D6216C">
        <w:rPr>
          <w:b/>
          <w:lang w:val="en-US"/>
        </w:rPr>
        <w:t>*</w:t>
      </w:r>
      <w:r>
        <w:rPr>
          <w:lang w:val="en-US"/>
        </w:rPr>
        <w:t>Further details of levels are to be found in the CLASSIC Data Verification Plan.</w:t>
      </w:r>
    </w:p>
    <w:p w14:paraId="292FF70B" w14:textId="77777777" w:rsidR="006F7AA6" w:rsidRPr="006F7AA6" w:rsidRDefault="006F7AA6">
      <w:pPr>
        <w:rPr>
          <w:lang w:val="en-US"/>
        </w:rPr>
      </w:pPr>
    </w:p>
    <w:p w14:paraId="5AD2F286" w14:textId="0D157680" w:rsidR="00D01E60" w:rsidRPr="00D01E60" w:rsidRDefault="00D01E60">
      <w:pPr>
        <w:rPr>
          <w:b/>
          <w:lang w:val="en-US"/>
        </w:rPr>
      </w:pPr>
      <w:r w:rsidRPr="00D01E60">
        <w:rPr>
          <w:b/>
          <w:lang w:val="en-US"/>
        </w:rPr>
        <w:t>Signatures</w:t>
      </w:r>
    </w:p>
    <w:p w14:paraId="1E634005" w14:textId="5A721C7D" w:rsidR="006F7AA6" w:rsidRPr="006F7AA6" w:rsidRDefault="006F7AA6">
      <w:pPr>
        <w:rPr>
          <w:lang w:val="en-US"/>
        </w:rPr>
      </w:pPr>
      <w:r w:rsidRPr="006F7AA6">
        <w:rPr>
          <w:lang w:val="en-US"/>
        </w:rPr>
        <w:t>Monitoring services</w:t>
      </w:r>
      <w:r w:rsidRPr="006F7AA6">
        <w:rPr>
          <w:lang w:val="en-US"/>
        </w:rPr>
        <w:tab/>
      </w:r>
      <w:r w:rsidRPr="006F7AA6">
        <w:rPr>
          <w:lang w:val="en-US"/>
        </w:rPr>
        <w:tab/>
      </w:r>
      <w:r w:rsidRPr="006F7AA6">
        <w:rPr>
          <w:lang w:val="en-US"/>
        </w:rPr>
        <w:tab/>
      </w:r>
      <w:r w:rsidR="00D01E60">
        <w:rPr>
          <w:lang w:val="en-US"/>
        </w:rPr>
        <w:t>Sponsor</w:t>
      </w:r>
    </w:p>
    <w:p w14:paraId="609BD1DC" w14:textId="3228EC1D" w:rsidR="006F7AA6" w:rsidRPr="006F7AA6" w:rsidRDefault="006F7AA6">
      <w:pPr>
        <w:rPr>
          <w:lang w:val="en-US"/>
        </w:rPr>
      </w:pPr>
      <w:r w:rsidRPr="006F7AA6">
        <w:rPr>
          <w:lang w:val="en-US"/>
        </w:rPr>
        <w:t>Dat</w:t>
      </w:r>
      <w:r w:rsidR="0007601C">
        <w:rPr>
          <w:lang w:val="en-US"/>
        </w:rPr>
        <w:t>e</w:t>
      </w:r>
      <w:r w:rsidRPr="006F7AA6">
        <w:rPr>
          <w:lang w:val="en-US"/>
        </w:rPr>
        <w:t>:</w:t>
      </w:r>
      <w:r w:rsidR="00E75D5D" w:rsidRPr="00E75D5D">
        <w:rPr>
          <w:highlight w:val="yellow"/>
          <w:lang w:val="en-US"/>
        </w:rPr>
        <w:t xml:space="preserve"> []</w:t>
      </w:r>
      <w:r>
        <w:rPr>
          <w:lang w:val="en-US"/>
        </w:rPr>
        <w:tab/>
      </w:r>
      <w:r>
        <w:rPr>
          <w:lang w:val="en-US"/>
        </w:rPr>
        <w:tab/>
      </w:r>
      <w:r>
        <w:rPr>
          <w:lang w:val="en-US"/>
        </w:rPr>
        <w:tab/>
      </w:r>
      <w:r>
        <w:rPr>
          <w:lang w:val="en-US"/>
        </w:rPr>
        <w:tab/>
        <w:t xml:space="preserve">Date: </w:t>
      </w:r>
      <w:r w:rsidR="00E75D5D" w:rsidRPr="00E75D5D">
        <w:rPr>
          <w:highlight w:val="yellow"/>
          <w:lang w:val="en-US"/>
        </w:rPr>
        <w:t>[]</w:t>
      </w:r>
    </w:p>
    <w:p w14:paraId="54CEE127" w14:textId="77777777" w:rsidR="006F7AA6" w:rsidRPr="006F7AA6" w:rsidRDefault="006F7AA6">
      <w:pPr>
        <w:rPr>
          <w:lang w:val="en-US"/>
        </w:rPr>
      </w:pPr>
    </w:p>
    <w:p w14:paraId="6FB6D5AF" w14:textId="40AD99C2" w:rsidR="006F7AA6" w:rsidRDefault="006F7AA6">
      <w:pPr>
        <w:rPr>
          <w:lang w:val="en-US"/>
        </w:rPr>
      </w:pPr>
      <w:r w:rsidRPr="006F7AA6">
        <w:rPr>
          <w:lang w:val="en-US"/>
        </w:rPr>
        <w:lastRenderedPageBreak/>
        <w:t xml:space="preserve">Signature: </w:t>
      </w:r>
      <w:r>
        <w:rPr>
          <w:u w:val="single"/>
          <w:lang w:val="en-US"/>
        </w:rPr>
        <w:t xml:space="preserve">                                                    </w:t>
      </w:r>
      <w:r>
        <w:rPr>
          <w:lang w:val="en-US"/>
        </w:rPr>
        <w:tab/>
      </w:r>
      <w:r>
        <w:rPr>
          <w:lang w:val="en-US"/>
        </w:rPr>
        <w:tab/>
      </w:r>
      <w:r w:rsidR="00E75D5D">
        <w:rPr>
          <w:lang w:val="en-US"/>
        </w:rPr>
        <w:t>Signature: _</w:t>
      </w:r>
      <w:r>
        <w:rPr>
          <w:lang w:val="en-US"/>
        </w:rPr>
        <w:t>_________________________</w:t>
      </w:r>
    </w:p>
    <w:p w14:paraId="4B573795" w14:textId="67310DC7" w:rsidR="00D01E60" w:rsidRDefault="00D01E60">
      <w:pPr>
        <w:rPr>
          <w:lang w:val="en-US"/>
        </w:rPr>
      </w:pPr>
      <w:r w:rsidRPr="00D01E60">
        <w:rPr>
          <w:highlight w:val="yellow"/>
          <w:lang w:val="en-US"/>
        </w:rPr>
        <w:t>[type title and name]</w:t>
      </w:r>
      <w:r w:rsidR="006F7AA6" w:rsidRPr="00EC1ED5">
        <w:rPr>
          <w:lang w:val="en-US"/>
        </w:rPr>
        <w:tab/>
      </w:r>
      <w:r w:rsidR="00E75D5D" w:rsidRPr="00EC1ED5">
        <w:rPr>
          <w:lang w:val="en-US"/>
        </w:rPr>
        <w:tab/>
      </w:r>
      <w:r>
        <w:rPr>
          <w:lang w:val="en-US"/>
        </w:rPr>
        <w:tab/>
        <w:t>Professor, MD, PhD Anders Perner</w:t>
      </w:r>
    </w:p>
    <w:p w14:paraId="41AB9B90" w14:textId="66BBD57A" w:rsidR="00D01E60" w:rsidRDefault="00D01E60">
      <w:pPr>
        <w:rPr>
          <w:lang w:val="en-US"/>
        </w:rPr>
      </w:pPr>
    </w:p>
    <w:p w14:paraId="4EF9A301" w14:textId="77777777" w:rsidR="00E821D8" w:rsidRDefault="00E821D8">
      <w:pPr>
        <w:rPr>
          <w:lang w:val="en-US"/>
        </w:rPr>
      </w:pPr>
    </w:p>
    <w:p w14:paraId="24A2E3AD" w14:textId="77777777" w:rsidR="00D01E60" w:rsidRDefault="00D01E60">
      <w:pPr>
        <w:rPr>
          <w:lang w:val="en-US"/>
        </w:rPr>
      </w:pPr>
    </w:p>
    <w:p w14:paraId="4855281B" w14:textId="3D932174" w:rsidR="00E75D5D" w:rsidRPr="00D01E60" w:rsidRDefault="00E75D5D">
      <w:pPr>
        <w:rPr>
          <w:lang w:val="en-US"/>
        </w:rPr>
      </w:pPr>
      <w:r w:rsidRPr="00D01E60">
        <w:rPr>
          <w:lang w:val="en-US"/>
        </w:rPr>
        <w:tab/>
        <w:t xml:space="preserve"> </w:t>
      </w:r>
    </w:p>
    <w:p w14:paraId="03EED110" w14:textId="0BBFC57D" w:rsidR="00D01E60" w:rsidRDefault="006F7AA6" w:rsidP="00E75D5D">
      <w:pPr>
        <w:ind w:left="3912" w:firstLine="1304"/>
        <w:rPr>
          <w:u w:val="single"/>
          <w:lang w:val="en-US"/>
        </w:rPr>
      </w:pPr>
      <w:r w:rsidRPr="00E75D5D">
        <w:rPr>
          <w:u w:val="single"/>
          <w:lang w:val="en-US"/>
        </w:rPr>
        <w:t xml:space="preserve">             </w:t>
      </w:r>
    </w:p>
    <w:p w14:paraId="43E41542" w14:textId="201056A7" w:rsidR="00D01E60" w:rsidRDefault="00D01E60" w:rsidP="00E75D5D">
      <w:pPr>
        <w:ind w:left="3912" w:firstLine="1304"/>
        <w:rPr>
          <w:u w:val="single"/>
          <w:lang w:val="en-US"/>
        </w:rPr>
      </w:pPr>
    </w:p>
    <w:p w14:paraId="2DD8F7B2" w14:textId="77777777" w:rsidR="00D01E60" w:rsidRDefault="00D01E60" w:rsidP="00E75D5D">
      <w:pPr>
        <w:ind w:left="3912" w:firstLine="1304"/>
        <w:rPr>
          <w:u w:val="single"/>
          <w:lang w:val="en-US"/>
        </w:rPr>
      </w:pPr>
    </w:p>
    <w:p w14:paraId="1CB7FD4A" w14:textId="5D1B85F4" w:rsidR="006F7AA6" w:rsidRPr="00E75D5D" w:rsidRDefault="006F7AA6" w:rsidP="00E75D5D">
      <w:pPr>
        <w:ind w:left="3912" w:firstLine="1304"/>
        <w:rPr>
          <w:lang w:val="en-US"/>
        </w:rPr>
      </w:pPr>
      <w:r w:rsidRPr="00E75D5D">
        <w:rPr>
          <w:u w:val="single"/>
          <w:lang w:val="en-US"/>
        </w:rPr>
        <w:t xml:space="preserve">                                                                                      </w:t>
      </w:r>
    </w:p>
    <w:sectPr w:rsidR="006F7AA6" w:rsidRPr="00E75D5D">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AF0CB" w14:textId="77777777" w:rsidR="00252BFD" w:rsidRDefault="00252BFD" w:rsidP="00252BFD">
      <w:pPr>
        <w:spacing w:after="0" w:line="240" w:lineRule="auto"/>
      </w:pPr>
      <w:r>
        <w:separator/>
      </w:r>
    </w:p>
  </w:endnote>
  <w:endnote w:type="continuationSeparator" w:id="0">
    <w:p w14:paraId="71A5E09E" w14:textId="77777777" w:rsidR="00252BFD" w:rsidRDefault="00252BFD" w:rsidP="0025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B458D" w14:textId="77777777" w:rsidR="00252BFD" w:rsidRDefault="00252BFD" w:rsidP="00252BFD">
      <w:pPr>
        <w:spacing w:after="0" w:line="240" w:lineRule="auto"/>
      </w:pPr>
      <w:r>
        <w:separator/>
      </w:r>
    </w:p>
  </w:footnote>
  <w:footnote w:type="continuationSeparator" w:id="0">
    <w:p w14:paraId="7B014C30" w14:textId="77777777" w:rsidR="00252BFD" w:rsidRDefault="00252BFD" w:rsidP="00252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495C5" w14:textId="4F57DE81" w:rsidR="00252BFD" w:rsidRDefault="00252BFD">
    <w:pPr>
      <w:pStyle w:val="Sidehoved"/>
    </w:pPr>
    <w:r>
      <w:rPr>
        <w:noProof/>
      </w:rPr>
      <mc:AlternateContent>
        <mc:Choice Requires="wps">
          <w:drawing>
            <wp:anchor distT="0" distB="0" distL="114300" distR="114300" simplePos="0" relativeHeight="251657216" behindDoc="0" locked="0" layoutInCell="0" allowOverlap="1" wp14:anchorId="7039CB1D" wp14:editId="38BA5945">
              <wp:simplePos x="0" y="0"/>
              <wp:positionH relativeFrom="page">
                <wp:posOffset>5181600</wp:posOffset>
              </wp:positionH>
              <wp:positionV relativeFrom="topMargin">
                <wp:posOffset>114300</wp:posOffset>
              </wp:positionV>
              <wp:extent cx="2377440" cy="170815"/>
              <wp:effectExtent l="0" t="0" r="3810" b="635"/>
              <wp:wrapNone/>
              <wp:docPr id="221" name="Tekstfelt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70815"/>
                      </a:xfrm>
                      <a:prstGeom prst="rect">
                        <a:avLst/>
                      </a:prstGeom>
                      <a:solidFill>
                        <a:schemeClr val="accent6">
                          <a:lumMod val="60000"/>
                          <a:lumOff val="40000"/>
                        </a:schemeClr>
                      </a:solidFill>
                      <a:ln>
                        <a:noFill/>
                      </a:ln>
                    </wps:spPr>
                    <wps:txbx>
                      <w:txbxContent>
                        <w:p w14:paraId="3BE77D1B" w14:textId="3772001B" w:rsidR="00252BFD" w:rsidRPr="00252BFD" w:rsidRDefault="00252BFD">
                          <w:pPr>
                            <w:spacing w:after="0" w:line="240" w:lineRule="auto"/>
                            <w:rPr>
                              <w:color w:val="FFFFFF" w:themeColor="background1"/>
                              <w:sz w:val="16"/>
                            </w:rPr>
                          </w:pPr>
                          <w:r w:rsidRPr="00252BFD">
                            <w:rPr>
                              <w:sz w:val="16"/>
                            </w:rPr>
                            <w:t>CLASSIC_monitor_contract_20190</w:t>
                          </w:r>
                          <w:r w:rsidR="00C23F49">
                            <w:rPr>
                              <w:sz w:val="16"/>
                            </w:rPr>
                            <w:t>819</w:t>
                          </w:r>
                          <w:r>
                            <w:rPr>
                              <w:sz w:val="16"/>
                            </w:rPr>
                            <w:t xml:space="preserve"> vs. 1.</w:t>
                          </w:r>
                          <w:r w:rsidR="00C23F49">
                            <w:rPr>
                              <w:sz w:val="16"/>
                            </w:rPr>
                            <w:t>2</w:t>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7039CB1D" id="_x0000_t202" coordsize="21600,21600" o:spt="202" path="m,l,21600r21600,l21600,xe">
              <v:stroke joinstyle="miter"/>
              <v:path gradientshapeok="t" o:connecttype="rect"/>
            </v:shapetype>
            <v:shape id="Tekstfelt 221" o:spid="_x0000_s1026" type="#_x0000_t202" style="position:absolute;margin-left:408pt;margin-top:9pt;width:187.2pt;height:1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" o:allowincell="f" fillcolor="#a8d08d [1945]" stroked="f">
              <v:textbox style="mso-fit-shape-to-text:t" inset=",0,,0">
                <w:txbxContent>
                  <w:p w14:paraId="3BE77D1B" w14:textId="3772001B" w:rsidR="00252BFD" w:rsidRPr="00252BFD" w:rsidRDefault="00252BFD">
                    <w:pPr>
                      <w:spacing w:after="0" w:line="240" w:lineRule="auto"/>
                      <w:rPr>
                        <w:color w:val="FFFFFF" w:themeColor="background1"/>
                        <w:sz w:val="16"/>
                      </w:rPr>
                    </w:pPr>
                    <w:r w:rsidRPr="00252BFD">
                      <w:rPr>
                        <w:sz w:val="16"/>
                      </w:rPr>
                      <w:t>CLASSIC_monitor_contract_20190</w:t>
                    </w:r>
                    <w:r w:rsidR="00C23F49">
                      <w:rPr>
                        <w:sz w:val="16"/>
                      </w:rPr>
                      <w:t>819</w:t>
                    </w:r>
                    <w:r>
                      <w:rPr>
                        <w:sz w:val="16"/>
                      </w:rPr>
                      <w:t xml:space="preserve"> vs. 1.</w:t>
                    </w:r>
                    <w:r w:rsidR="00C23F49">
                      <w:rPr>
                        <w:sz w:val="16"/>
                      </w:rPr>
                      <w:t>2</w:t>
                    </w:r>
                  </w:p>
                </w:txbxContent>
              </v:textbox>
              <w10:wrap anchorx="page" anchory="margin"/>
            </v:shape>
          </w:pict>
        </mc:Fallback>
      </mc:AlternateContent>
    </w:r>
    <w:r>
      <w:rPr>
        <w:noProof/>
      </w:rPr>
      <mc:AlternateContent>
        <mc:Choice Requires="wps">
          <w:drawing>
            <wp:anchor distT="0" distB="0" distL="114300" distR="114300" simplePos="0" relativeHeight="251659264" behindDoc="0" locked="0" layoutInCell="0" allowOverlap="1" wp14:anchorId="294E852B" wp14:editId="27564493">
              <wp:simplePos x="0" y="0"/>
              <wp:positionH relativeFrom="margin">
                <wp:align>left</wp:align>
              </wp:positionH>
              <wp:positionV relativeFrom="topMargin">
                <wp:align>center</wp:align>
              </wp:positionV>
              <wp:extent cx="5943600" cy="173736"/>
              <wp:effectExtent l="0" t="0" r="0" b="635"/>
              <wp:wrapNone/>
              <wp:docPr id="220" name="Tekstfelt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DA077" w14:textId="1123AF7E" w:rsidR="00252BFD" w:rsidRDefault="00252BFD">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294E852B" id="Tekstfelt 220" o:spid="_x0000_s1027" type="#_x0000_t202" style="position:absolute;margin-left:0;margin-top:0;width:468pt;height:13.7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" o:allowincell="f" filled="f" stroked="f">
              <v:textbox style="mso-fit-shape-to-text:t" inset=",0,,0">
                <w:txbxContent>
                  <w:p w14:paraId="08BDA077" w14:textId="1123AF7E" w:rsidR="00252BFD" w:rsidRDefault="00252BFD">
                    <w:pPr>
                      <w:spacing w:after="0" w:line="240" w:lineRule="auto"/>
                      <w:jc w:val="right"/>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725C8"/>
    <w:multiLevelType w:val="hybridMultilevel"/>
    <w:tmpl w:val="5A946574"/>
    <w:lvl w:ilvl="0" w:tplc="6A4C5424">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5D75C2"/>
    <w:multiLevelType w:val="hybridMultilevel"/>
    <w:tmpl w:val="B1C2F2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66A10BF"/>
    <w:multiLevelType w:val="hybridMultilevel"/>
    <w:tmpl w:val="88D86BF4"/>
    <w:lvl w:ilvl="0" w:tplc="CC14B01E">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8D75ED7"/>
    <w:multiLevelType w:val="hybridMultilevel"/>
    <w:tmpl w:val="653AEB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BBE7D8B"/>
    <w:multiLevelType w:val="hybridMultilevel"/>
    <w:tmpl w:val="501EF068"/>
    <w:lvl w:ilvl="0" w:tplc="04100001">
      <w:start w:val="1"/>
      <w:numFmt w:val="bullet"/>
      <w:lvlText w:val=""/>
      <w:lvlJc w:val="left"/>
      <w:pPr>
        <w:ind w:left="2222" w:hanging="360"/>
      </w:pPr>
      <w:rPr>
        <w:rFonts w:ascii="Symbol" w:hAnsi="Symbol" w:hint="default"/>
      </w:rPr>
    </w:lvl>
    <w:lvl w:ilvl="1" w:tplc="04100003">
      <w:start w:val="1"/>
      <w:numFmt w:val="bullet"/>
      <w:lvlText w:val="o"/>
      <w:lvlJc w:val="left"/>
      <w:pPr>
        <w:ind w:left="2942" w:hanging="360"/>
      </w:pPr>
      <w:rPr>
        <w:rFonts w:ascii="Courier New" w:hAnsi="Courier New" w:cs="Courier New" w:hint="default"/>
      </w:rPr>
    </w:lvl>
    <w:lvl w:ilvl="2" w:tplc="04100005">
      <w:start w:val="1"/>
      <w:numFmt w:val="bullet"/>
      <w:lvlText w:val=""/>
      <w:lvlJc w:val="left"/>
      <w:pPr>
        <w:ind w:left="3662" w:hanging="360"/>
      </w:pPr>
      <w:rPr>
        <w:rFonts w:ascii="Wingdings" w:hAnsi="Wingdings" w:hint="default"/>
      </w:rPr>
    </w:lvl>
    <w:lvl w:ilvl="3" w:tplc="04100001">
      <w:start w:val="1"/>
      <w:numFmt w:val="bullet"/>
      <w:lvlText w:val=""/>
      <w:lvlJc w:val="left"/>
      <w:pPr>
        <w:ind w:left="4382" w:hanging="360"/>
      </w:pPr>
      <w:rPr>
        <w:rFonts w:ascii="Symbol" w:hAnsi="Symbol" w:hint="default"/>
      </w:rPr>
    </w:lvl>
    <w:lvl w:ilvl="4" w:tplc="04100003">
      <w:start w:val="1"/>
      <w:numFmt w:val="bullet"/>
      <w:lvlText w:val="o"/>
      <w:lvlJc w:val="left"/>
      <w:pPr>
        <w:ind w:left="5102" w:hanging="360"/>
      </w:pPr>
      <w:rPr>
        <w:rFonts w:ascii="Courier New" w:hAnsi="Courier New" w:cs="Courier New" w:hint="default"/>
      </w:rPr>
    </w:lvl>
    <w:lvl w:ilvl="5" w:tplc="04100005">
      <w:start w:val="1"/>
      <w:numFmt w:val="bullet"/>
      <w:lvlText w:val=""/>
      <w:lvlJc w:val="left"/>
      <w:pPr>
        <w:ind w:left="5822" w:hanging="360"/>
      </w:pPr>
      <w:rPr>
        <w:rFonts w:ascii="Wingdings" w:hAnsi="Wingdings" w:hint="default"/>
      </w:rPr>
    </w:lvl>
    <w:lvl w:ilvl="6" w:tplc="04100001">
      <w:start w:val="1"/>
      <w:numFmt w:val="bullet"/>
      <w:lvlText w:val=""/>
      <w:lvlJc w:val="left"/>
      <w:pPr>
        <w:ind w:left="6542" w:hanging="360"/>
      </w:pPr>
      <w:rPr>
        <w:rFonts w:ascii="Symbol" w:hAnsi="Symbol" w:hint="default"/>
      </w:rPr>
    </w:lvl>
    <w:lvl w:ilvl="7" w:tplc="04100003">
      <w:start w:val="1"/>
      <w:numFmt w:val="bullet"/>
      <w:lvlText w:val="o"/>
      <w:lvlJc w:val="left"/>
      <w:pPr>
        <w:ind w:left="7262" w:hanging="360"/>
      </w:pPr>
      <w:rPr>
        <w:rFonts w:ascii="Courier New" w:hAnsi="Courier New" w:cs="Courier New" w:hint="default"/>
      </w:rPr>
    </w:lvl>
    <w:lvl w:ilvl="8" w:tplc="04100005">
      <w:start w:val="1"/>
      <w:numFmt w:val="bullet"/>
      <w:lvlText w:val=""/>
      <w:lvlJc w:val="left"/>
      <w:pPr>
        <w:ind w:left="7982" w:hanging="360"/>
      </w:pPr>
      <w:rPr>
        <w:rFonts w:ascii="Wingdings" w:hAnsi="Wingdings" w:hint="default"/>
      </w:rPr>
    </w:lvl>
  </w:abstractNum>
  <w:abstractNum w:abstractNumId="5" w15:restartNumberingAfterBreak="0">
    <w:nsid w:val="7E002246"/>
    <w:multiLevelType w:val="hybridMultilevel"/>
    <w:tmpl w:val="76A041A2"/>
    <w:lvl w:ilvl="0" w:tplc="69484D36">
      <w:start w:val="2"/>
      <w:numFmt w:val="bullet"/>
      <w:lvlText w:val=""/>
      <w:lvlJc w:val="left"/>
      <w:pPr>
        <w:ind w:left="720" w:hanging="360"/>
      </w:pPr>
      <w:rPr>
        <w:rFonts w:ascii="Symbol" w:eastAsiaTheme="minorHAnsi" w:hAnsi="Symbol" w:cstheme="minorBid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A6"/>
    <w:rsid w:val="0007502B"/>
    <w:rsid w:val="0007601C"/>
    <w:rsid w:val="00123EFB"/>
    <w:rsid w:val="002078FF"/>
    <w:rsid w:val="00252BFD"/>
    <w:rsid w:val="003C292E"/>
    <w:rsid w:val="004B211C"/>
    <w:rsid w:val="004B3E02"/>
    <w:rsid w:val="004C3F1F"/>
    <w:rsid w:val="004C69FD"/>
    <w:rsid w:val="00504156"/>
    <w:rsid w:val="0056668A"/>
    <w:rsid w:val="0060575C"/>
    <w:rsid w:val="00661577"/>
    <w:rsid w:val="006F7AA6"/>
    <w:rsid w:val="007705AD"/>
    <w:rsid w:val="007B26D4"/>
    <w:rsid w:val="00831C52"/>
    <w:rsid w:val="0084324A"/>
    <w:rsid w:val="008B3F97"/>
    <w:rsid w:val="008E2968"/>
    <w:rsid w:val="008E7B60"/>
    <w:rsid w:val="00900AC7"/>
    <w:rsid w:val="009539EA"/>
    <w:rsid w:val="009759DE"/>
    <w:rsid w:val="00AC10FC"/>
    <w:rsid w:val="00AF4F9A"/>
    <w:rsid w:val="00B50606"/>
    <w:rsid w:val="00B94EB1"/>
    <w:rsid w:val="00BF2281"/>
    <w:rsid w:val="00C23F49"/>
    <w:rsid w:val="00C918FF"/>
    <w:rsid w:val="00D01E60"/>
    <w:rsid w:val="00D107FC"/>
    <w:rsid w:val="00D40F82"/>
    <w:rsid w:val="00D6216C"/>
    <w:rsid w:val="00E47FAB"/>
    <w:rsid w:val="00E75D5D"/>
    <w:rsid w:val="00E821D8"/>
    <w:rsid w:val="00EC1ED5"/>
    <w:rsid w:val="00F35BB7"/>
    <w:rsid w:val="00F42B5B"/>
    <w:rsid w:val="00F6408C"/>
    <w:rsid w:val="00F843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BDB997"/>
  <w15:docId w15:val="{CBA2954E-1201-4AC5-83ED-B70E0133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F7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7601C"/>
    <w:rPr>
      <w:color w:val="0563C1" w:themeColor="hyperlink"/>
      <w:u w:val="single"/>
    </w:rPr>
  </w:style>
  <w:style w:type="character" w:customStyle="1" w:styleId="Ulstomtale1">
    <w:name w:val="Uløst omtale1"/>
    <w:basedOn w:val="Standardskrifttypeiafsnit"/>
    <w:uiPriority w:val="99"/>
    <w:semiHidden/>
    <w:unhideWhenUsed/>
    <w:rsid w:val="0007601C"/>
    <w:rPr>
      <w:color w:val="605E5C"/>
      <w:shd w:val="clear" w:color="auto" w:fill="E1DFDD"/>
    </w:rPr>
  </w:style>
  <w:style w:type="paragraph" w:styleId="Listeafsnit">
    <w:name w:val="List Paragraph"/>
    <w:basedOn w:val="Normal"/>
    <w:uiPriority w:val="34"/>
    <w:qFormat/>
    <w:rsid w:val="004B3E02"/>
    <w:pPr>
      <w:ind w:left="720"/>
      <w:contextualSpacing/>
    </w:pPr>
  </w:style>
  <w:style w:type="paragraph" w:styleId="Markeringsbobletekst">
    <w:name w:val="Balloon Text"/>
    <w:basedOn w:val="Normal"/>
    <w:link w:val="MarkeringsbobletekstTegn"/>
    <w:uiPriority w:val="99"/>
    <w:semiHidden/>
    <w:unhideWhenUsed/>
    <w:rsid w:val="00EC1ED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C1ED5"/>
    <w:rPr>
      <w:rFonts w:ascii="Tahoma" w:hAnsi="Tahoma" w:cs="Tahoma"/>
      <w:sz w:val="16"/>
      <w:szCs w:val="16"/>
    </w:rPr>
  </w:style>
  <w:style w:type="character" w:styleId="Kommentarhenvisning">
    <w:name w:val="annotation reference"/>
    <w:basedOn w:val="Standardskrifttypeiafsnit"/>
    <w:uiPriority w:val="99"/>
    <w:semiHidden/>
    <w:unhideWhenUsed/>
    <w:rsid w:val="00EC1ED5"/>
    <w:rPr>
      <w:sz w:val="16"/>
      <w:szCs w:val="16"/>
    </w:rPr>
  </w:style>
  <w:style w:type="paragraph" w:styleId="Kommentartekst">
    <w:name w:val="annotation text"/>
    <w:basedOn w:val="Normal"/>
    <w:link w:val="KommentartekstTegn"/>
    <w:uiPriority w:val="99"/>
    <w:semiHidden/>
    <w:unhideWhenUsed/>
    <w:rsid w:val="00EC1ED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C1ED5"/>
    <w:rPr>
      <w:sz w:val="20"/>
      <w:szCs w:val="20"/>
    </w:rPr>
  </w:style>
  <w:style w:type="paragraph" w:styleId="Kommentaremne">
    <w:name w:val="annotation subject"/>
    <w:basedOn w:val="Kommentartekst"/>
    <w:next w:val="Kommentartekst"/>
    <w:link w:val="KommentaremneTegn"/>
    <w:uiPriority w:val="99"/>
    <w:semiHidden/>
    <w:unhideWhenUsed/>
    <w:rsid w:val="00EC1ED5"/>
    <w:rPr>
      <w:b/>
      <w:bCs/>
    </w:rPr>
  </w:style>
  <w:style w:type="character" w:customStyle="1" w:styleId="KommentaremneTegn">
    <w:name w:val="Kommentaremne Tegn"/>
    <w:basedOn w:val="KommentartekstTegn"/>
    <w:link w:val="Kommentaremne"/>
    <w:uiPriority w:val="99"/>
    <w:semiHidden/>
    <w:rsid w:val="00EC1ED5"/>
    <w:rPr>
      <w:b/>
      <w:bCs/>
      <w:sz w:val="20"/>
      <w:szCs w:val="20"/>
    </w:rPr>
  </w:style>
  <w:style w:type="paragraph" w:styleId="Sidehoved">
    <w:name w:val="header"/>
    <w:basedOn w:val="Normal"/>
    <w:link w:val="SidehovedTegn"/>
    <w:uiPriority w:val="99"/>
    <w:unhideWhenUsed/>
    <w:rsid w:val="00252BF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52BFD"/>
  </w:style>
  <w:style w:type="paragraph" w:styleId="Sidefod">
    <w:name w:val="footer"/>
    <w:basedOn w:val="Normal"/>
    <w:link w:val="SidefodTegn"/>
    <w:uiPriority w:val="99"/>
    <w:unhideWhenUsed/>
    <w:rsid w:val="00252B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5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perner@regionh.d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cric.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5689</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Hovedstaden</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Agerholm Larsen</dc:creator>
  <cp:lastModifiedBy>Maj-Brit Nørregaard Kjær</cp:lastModifiedBy>
  <cp:revision>4</cp:revision>
  <dcterms:created xsi:type="dcterms:W3CDTF">2019-08-19T11:14:00Z</dcterms:created>
  <dcterms:modified xsi:type="dcterms:W3CDTF">2019-08-19T11:18:00Z</dcterms:modified>
</cp:coreProperties>
</file>