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07" w:rsidRDefault="000E3607" w:rsidP="000E3607">
      <w:pPr>
        <w:rPr>
          <w:lang w:val="da-DK"/>
        </w:rPr>
      </w:pPr>
    </w:p>
    <w:p w:rsidR="000E3607" w:rsidRDefault="000E3607" w:rsidP="000E3607">
      <w:pPr>
        <w:rPr>
          <w:lang w:val="da-DK"/>
        </w:rPr>
      </w:pPr>
    </w:p>
    <w:tbl>
      <w:tblPr>
        <w:tblStyle w:val="Tabel-Gitter"/>
        <w:tblW w:w="0" w:type="auto"/>
        <w:tblLook w:val="04A0" w:firstRow="1" w:lastRow="0" w:firstColumn="1" w:lastColumn="0" w:noHBand="0" w:noVBand="1"/>
      </w:tblPr>
      <w:tblGrid>
        <w:gridCol w:w="1980"/>
        <w:gridCol w:w="7648"/>
      </w:tblGrid>
      <w:tr w:rsidR="000E3607" w:rsidRPr="005A2BB2" w:rsidTr="00CC2CA7">
        <w:tc>
          <w:tcPr>
            <w:tcW w:w="1980" w:type="dxa"/>
          </w:tcPr>
          <w:p w:rsidR="000E3607" w:rsidRPr="005A2BB2" w:rsidRDefault="000E3607" w:rsidP="00CC2CA7">
            <w:pPr>
              <w:rPr>
                <w:b/>
                <w:bCs/>
              </w:rPr>
            </w:pPr>
            <w:r w:rsidRPr="005A2BB2">
              <w:rPr>
                <w:b/>
                <w:bCs/>
              </w:rPr>
              <w:t>Protocol title</w:t>
            </w:r>
          </w:p>
        </w:tc>
        <w:tc>
          <w:tcPr>
            <w:tcW w:w="7648" w:type="dxa"/>
          </w:tcPr>
          <w:p w:rsidR="000E3607" w:rsidRPr="000E3607" w:rsidRDefault="000E3607" w:rsidP="00CC2CA7">
            <w:pPr>
              <w:rPr>
                <w:b/>
                <w:bCs/>
              </w:rPr>
            </w:pPr>
            <w:r w:rsidRPr="000E3607">
              <w:rPr>
                <w:b/>
                <w:bCs/>
              </w:rPr>
              <w:t>GODIF</w:t>
            </w:r>
          </w:p>
          <w:p w:rsidR="000E3607" w:rsidRPr="005A2BB2" w:rsidRDefault="000E3607" w:rsidP="00CC2CA7">
            <w:r w:rsidRPr="005A2BB2">
              <w:t>Goal directed fluid removal with furosemide in inte</w:t>
            </w:r>
            <w:r>
              <w:t>n</w:t>
            </w:r>
            <w:r w:rsidRPr="005A2BB2">
              <w:t>sive care patients with fluid overload – A randomised, blinded, placebo-controlled trial (GODIF)</w:t>
            </w:r>
          </w:p>
          <w:p w:rsidR="000E3607" w:rsidRPr="005A2BB2" w:rsidRDefault="000E3607" w:rsidP="00CC2CA7">
            <w:r w:rsidRPr="005A2BB2">
              <w:t>EudraCT: 2019-004292-40; ClinicalTrials.gov: NCT04180397</w:t>
            </w:r>
          </w:p>
        </w:tc>
      </w:tr>
      <w:tr w:rsidR="000E3607" w:rsidRPr="005A2BB2" w:rsidTr="00CC2CA7">
        <w:tc>
          <w:tcPr>
            <w:tcW w:w="1980" w:type="dxa"/>
          </w:tcPr>
          <w:p w:rsidR="000E3607" w:rsidRPr="005A2BB2" w:rsidRDefault="000E3607" w:rsidP="00CC2CA7">
            <w:pPr>
              <w:rPr>
                <w:b/>
                <w:bCs/>
              </w:rPr>
            </w:pPr>
            <w:r w:rsidRPr="005A2BB2">
              <w:rPr>
                <w:b/>
                <w:bCs/>
              </w:rPr>
              <w:t>SOP name</w:t>
            </w:r>
          </w:p>
        </w:tc>
        <w:tc>
          <w:tcPr>
            <w:tcW w:w="7648" w:type="dxa"/>
          </w:tcPr>
          <w:p w:rsidR="000E3607" w:rsidRPr="005A2BB2" w:rsidRDefault="000E3607" w:rsidP="00CC2CA7">
            <w:r>
              <w:t>Procedure for escape medicine and escape renal replacement therapy</w:t>
            </w:r>
          </w:p>
        </w:tc>
      </w:tr>
      <w:tr w:rsidR="000E3607" w:rsidRPr="005A2BB2" w:rsidTr="00CC2CA7">
        <w:tc>
          <w:tcPr>
            <w:tcW w:w="1980" w:type="dxa"/>
          </w:tcPr>
          <w:p w:rsidR="000E3607" w:rsidRPr="005A2BB2" w:rsidRDefault="000E3607" w:rsidP="00CC2CA7">
            <w:pPr>
              <w:rPr>
                <w:b/>
                <w:bCs/>
              </w:rPr>
            </w:pPr>
            <w:r w:rsidRPr="005A2BB2">
              <w:rPr>
                <w:b/>
                <w:bCs/>
              </w:rPr>
              <w:t>Version</w:t>
            </w:r>
          </w:p>
        </w:tc>
        <w:tc>
          <w:tcPr>
            <w:tcW w:w="7648" w:type="dxa"/>
          </w:tcPr>
          <w:p w:rsidR="000E3607" w:rsidRPr="005A2BB2" w:rsidRDefault="000E3607" w:rsidP="00CC2CA7">
            <w:r w:rsidRPr="005A2BB2">
              <w:t>1.0</w:t>
            </w:r>
          </w:p>
        </w:tc>
      </w:tr>
      <w:tr w:rsidR="000E3607" w:rsidRPr="005A2BB2" w:rsidTr="00CC2CA7">
        <w:tc>
          <w:tcPr>
            <w:tcW w:w="1980" w:type="dxa"/>
          </w:tcPr>
          <w:p w:rsidR="000E3607" w:rsidRPr="005A2BB2" w:rsidRDefault="000E3607" w:rsidP="00CC2CA7">
            <w:pPr>
              <w:rPr>
                <w:b/>
                <w:bCs/>
              </w:rPr>
            </w:pPr>
            <w:r w:rsidRPr="005A2BB2">
              <w:rPr>
                <w:b/>
                <w:bCs/>
              </w:rPr>
              <w:t>Applied from</w:t>
            </w:r>
          </w:p>
        </w:tc>
        <w:tc>
          <w:tcPr>
            <w:tcW w:w="7648" w:type="dxa"/>
          </w:tcPr>
          <w:p w:rsidR="000E3607" w:rsidRPr="005A2BB2" w:rsidRDefault="000E3607" w:rsidP="00CC2CA7">
            <w:r w:rsidRPr="005A2BB2">
              <w:t>02.06 2020</w:t>
            </w:r>
          </w:p>
        </w:tc>
      </w:tr>
    </w:tbl>
    <w:p w:rsidR="000E3607" w:rsidRPr="005A2BB2" w:rsidRDefault="000E3607" w:rsidP="000E3607"/>
    <w:tbl>
      <w:tblPr>
        <w:tblStyle w:val="Tabel-Gitter"/>
        <w:tblW w:w="0" w:type="auto"/>
        <w:tblLook w:val="04A0" w:firstRow="1" w:lastRow="0" w:firstColumn="1" w:lastColumn="0" w:noHBand="0" w:noVBand="1"/>
      </w:tblPr>
      <w:tblGrid>
        <w:gridCol w:w="9628"/>
      </w:tblGrid>
      <w:tr w:rsidR="000E3607" w:rsidRPr="005A2BB2" w:rsidTr="00CC2CA7">
        <w:tc>
          <w:tcPr>
            <w:tcW w:w="9628" w:type="dxa"/>
          </w:tcPr>
          <w:p w:rsidR="000E3607" w:rsidRPr="005A2BB2" w:rsidRDefault="000E3607" w:rsidP="00CC2CA7">
            <w:r w:rsidRPr="005A2BB2">
              <w:rPr>
                <w:b/>
                <w:bCs/>
              </w:rPr>
              <w:t>Target population</w:t>
            </w:r>
            <w:r w:rsidRPr="005A2BB2">
              <w:t>: Site investigators and research staff</w:t>
            </w:r>
          </w:p>
        </w:tc>
      </w:tr>
      <w:tr w:rsidR="000E3607" w:rsidRPr="005A2BB2" w:rsidTr="00CC2CA7">
        <w:tc>
          <w:tcPr>
            <w:tcW w:w="9628" w:type="dxa"/>
          </w:tcPr>
          <w:p w:rsidR="000E3607" w:rsidRPr="005A2BB2" w:rsidRDefault="000E3607" w:rsidP="00CC2CA7">
            <w:r w:rsidRPr="005A2BB2">
              <w:rPr>
                <w:b/>
                <w:bCs/>
              </w:rPr>
              <w:t>Responsible party</w:t>
            </w:r>
            <w:r w:rsidRPr="005A2BB2">
              <w:t>: Sponsor, Senior staff specialist and Associate Professor Morten Bestle</w:t>
            </w:r>
          </w:p>
        </w:tc>
      </w:tr>
      <w:tr w:rsidR="000E3607" w:rsidRPr="005A2BB2" w:rsidTr="00CC2CA7">
        <w:tc>
          <w:tcPr>
            <w:tcW w:w="9628" w:type="dxa"/>
          </w:tcPr>
          <w:p w:rsidR="000E3607" w:rsidRPr="005A2BB2" w:rsidRDefault="000E3607" w:rsidP="00CC2CA7">
            <w:r w:rsidRPr="005A2BB2">
              <w:rPr>
                <w:b/>
                <w:bCs/>
              </w:rPr>
              <w:t>Created by</w:t>
            </w:r>
            <w:r w:rsidRPr="005A2BB2">
              <w:t>: Coordinating Investigator; Sine Wichmann</w:t>
            </w:r>
          </w:p>
        </w:tc>
      </w:tr>
      <w:tr w:rsidR="000E3607" w:rsidRPr="005A2BB2" w:rsidTr="00CC2CA7">
        <w:tc>
          <w:tcPr>
            <w:tcW w:w="9628" w:type="dxa"/>
          </w:tcPr>
          <w:p w:rsidR="000E3607" w:rsidRDefault="000E3607" w:rsidP="000E3607">
            <w:pPr>
              <w:rPr>
                <w:b/>
                <w:bCs/>
              </w:rPr>
            </w:pPr>
            <w:r w:rsidRPr="000E3607">
              <w:rPr>
                <w:b/>
                <w:bCs/>
              </w:rPr>
              <w:t>Objective</w:t>
            </w:r>
          </w:p>
          <w:p w:rsidR="000E3607" w:rsidRDefault="000E3607" w:rsidP="000E3607">
            <w:pPr>
              <w:pStyle w:val="Listeafsnit"/>
              <w:numPr>
                <w:ilvl w:val="0"/>
                <w:numId w:val="4"/>
              </w:numPr>
            </w:pPr>
            <w:r>
              <w:t>To define criteria for escape open label furosemide</w:t>
            </w:r>
          </w:p>
          <w:p w:rsidR="000E3607" w:rsidRDefault="000E3607" w:rsidP="000E3607">
            <w:pPr>
              <w:pStyle w:val="Listeafsnit"/>
              <w:numPr>
                <w:ilvl w:val="0"/>
                <w:numId w:val="4"/>
              </w:numPr>
            </w:pPr>
            <w:r>
              <w:t>To define criteria for escape renal replacement therapy</w:t>
            </w:r>
          </w:p>
          <w:p w:rsidR="000E3607" w:rsidRDefault="000E3607" w:rsidP="000E3607">
            <w:pPr>
              <w:pStyle w:val="Listeafsnit"/>
              <w:numPr>
                <w:ilvl w:val="0"/>
                <w:numId w:val="4"/>
              </w:numPr>
            </w:pPr>
            <w:r>
              <w:t>To ensure uniform usage and registration of escape procedures</w:t>
            </w:r>
          </w:p>
          <w:p w:rsidR="006F4810" w:rsidRPr="005A2BB2" w:rsidRDefault="006F4810" w:rsidP="006F4810">
            <w:pPr>
              <w:pStyle w:val="Listeafsnit"/>
            </w:pPr>
          </w:p>
        </w:tc>
      </w:tr>
      <w:tr w:rsidR="000E3607" w:rsidRPr="005A2BB2" w:rsidTr="00CC2CA7">
        <w:tc>
          <w:tcPr>
            <w:tcW w:w="9628" w:type="dxa"/>
          </w:tcPr>
          <w:p w:rsidR="000E3607" w:rsidRPr="000E3607" w:rsidRDefault="000E3607" w:rsidP="000E3607">
            <w:pPr>
              <w:rPr>
                <w:b/>
                <w:bCs/>
              </w:rPr>
            </w:pPr>
            <w:r w:rsidRPr="000E3607">
              <w:rPr>
                <w:b/>
                <w:bCs/>
              </w:rPr>
              <w:t>Description:</w:t>
            </w:r>
          </w:p>
          <w:p w:rsidR="000E3607" w:rsidRPr="000E3607" w:rsidRDefault="000E3607" w:rsidP="000E3607">
            <w:pPr>
              <w:rPr>
                <w:u w:val="single"/>
              </w:rPr>
            </w:pPr>
            <w:r w:rsidRPr="000E3607">
              <w:rPr>
                <w:u w:val="single"/>
              </w:rPr>
              <w:t>Open label furosemide must only be used in case of</w:t>
            </w:r>
            <w:r w:rsidR="006F4810">
              <w:rPr>
                <w:u w:val="single"/>
              </w:rPr>
              <w:t>:</w:t>
            </w:r>
          </w:p>
          <w:p w:rsidR="000E3607" w:rsidRPr="007F4725" w:rsidRDefault="000E3607" w:rsidP="000E3607">
            <w:pPr>
              <w:pStyle w:val="Listeafsnit"/>
              <w:numPr>
                <w:ilvl w:val="0"/>
                <w:numId w:val="5"/>
              </w:numPr>
              <w:rPr>
                <w:lang w:val="da-DK"/>
              </w:rPr>
            </w:pPr>
            <w:proofErr w:type="spellStart"/>
            <w:r w:rsidRPr="007F4725">
              <w:rPr>
                <w:lang w:val="da-DK"/>
              </w:rPr>
              <w:t>Hyperkalaemia</w:t>
            </w:r>
            <w:proofErr w:type="spellEnd"/>
            <w:r w:rsidRPr="007F4725">
              <w:rPr>
                <w:lang w:val="da-DK"/>
              </w:rPr>
              <w:t xml:space="preserve"> (p-K &gt; 6.0 mmol/L</w:t>
            </w:r>
            <w:r w:rsidR="007F4725" w:rsidRPr="007F4725">
              <w:rPr>
                <w:lang w:val="da-DK"/>
              </w:rPr>
              <w:t>)</w:t>
            </w:r>
          </w:p>
          <w:p w:rsidR="006F4810" w:rsidRDefault="000E3607" w:rsidP="006F4810">
            <w:pPr>
              <w:pStyle w:val="Listeafsnit"/>
              <w:numPr>
                <w:ilvl w:val="0"/>
                <w:numId w:val="5"/>
              </w:numPr>
            </w:pPr>
            <w:r>
              <w:t xml:space="preserve">Respiratory failure (P/F-ratio &lt; 26 kPa (200 mmHg)) and pulmonary oedema </w:t>
            </w:r>
            <w:r w:rsidR="006F4810">
              <w:t>and</w:t>
            </w:r>
            <w:r>
              <w:t xml:space="preserve"> treating physician has a suspicion of respiratory deterioration is due to fluid overload.</w:t>
            </w:r>
          </w:p>
          <w:p w:rsidR="006F4810" w:rsidRDefault="006F4810" w:rsidP="006F4810">
            <w:r>
              <w:t>Escape doses must be described in the medical record. The maximum dose of furosemide per 24 hours is 1500 mg and must not be exceed. The infusion of trial drug must continue in case of indication of escape open label furosemide. On maximum trial drug infusion, the patient might get 960 mg furosemide in 24 hours.</w:t>
            </w:r>
          </w:p>
          <w:p w:rsidR="006F4810" w:rsidRDefault="006F4810" w:rsidP="006F4810"/>
          <w:p w:rsidR="006F4810" w:rsidRDefault="006F4810" w:rsidP="006F4810">
            <w:r w:rsidRPr="006F4810">
              <w:rPr>
                <w:u w:val="single"/>
              </w:rPr>
              <w:t xml:space="preserve">Renal replacement therapy must only be started when </w:t>
            </w:r>
            <w:r>
              <w:rPr>
                <w:u w:val="single"/>
              </w:rPr>
              <w:t>severe</w:t>
            </w:r>
            <w:r w:rsidRPr="006F4810">
              <w:rPr>
                <w:u w:val="single"/>
              </w:rPr>
              <w:t xml:space="preserve"> complications in fluid, electrolyte, and acid-base balance occur</w:t>
            </w:r>
            <w:r>
              <w:t>:</w:t>
            </w:r>
          </w:p>
          <w:p w:rsidR="006F4810" w:rsidRPr="00CF6A5C" w:rsidRDefault="006F4810" w:rsidP="006F4810">
            <w:pPr>
              <w:pStyle w:val="Listeafsnit"/>
              <w:numPr>
                <w:ilvl w:val="0"/>
                <w:numId w:val="5"/>
              </w:numPr>
              <w:rPr>
                <w:lang w:val="da-DK"/>
              </w:rPr>
            </w:pPr>
            <w:r w:rsidRPr="00CF6A5C">
              <w:rPr>
                <w:lang w:val="da-DK"/>
              </w:rPr>
              <w:t>Hyperkalaemia (p-K &gt; 6.0 mmol/L</w:t>
            </w:r>
            <w:r w:rsidR="00CF6A5C" w:rsidRPr="00CF6A5C">
              <w:rPr>
                <w:lang w:val="da-DK"/>
              </w:rPr>
              <w:t>)</w:t>
            </w:r>
          </w:p>
          <w:p w:rsidR="006F4810" w:rsidRDefault="006F4810" w:rsidP="006F4810">
            <w:pPr>
              <w:pStyle w:val="Listeafsnit"/>
              <w:numPr>
                <w:ilvl w:val="0"/>
                <w:numId w:val="5"/>
              </w:numPr>
            </w:pPr>
            <w:r>
              <w:t>Respiratory failure (P/F-ratio &lt; 26 kPa (200 mmHg)) and pulmonary oedema and treating physician has a suspicion of respiratory deterioration is due to fluid overload.</w:t>
            </w:r>
          </w:p>
          <w:p w:rsidR="006F4810" w:rsidRDefault="006F4810" w:rsidP="006F4810">
            <w:pPr>
              <w:pStyle w:val="Listeafsnit"/>
              <w:numPr>
                <w:ilvl w:val="0"/>
                <w:numId w:val="5"/>
              </w:numPr>
            </w:pPr>
            <w:r>
              <w:t>Severe metabolic acidosis attributable to acute kidney injury (pH &lt; 7.20 and SBE &lt; -10 mmol/L)</w:t>
            </w:r>
          </w:p>
          <w:p w:rsidR="006F4810" w:rsidRDefault="006F4810" w:rsidP="006F4810">
            <w:pPr>
              <w:pStyle w:val="Listeafsnit"/>
              <w:numPr>
                <w:ilvl w:val="0"/>
                <w:numId w:val="5"/>
              </w:numPr>
            </w:pPr>
            <w:r>
              <w:t>Persistent acute kidney injury &gt; 72 hours (defined as: oliguria/anuria or S-creatinine has not declined to 50% from peak value).</w:t>
            </w:r>
          </w:p>
          <w:p w:rsidR="006F4810" w:rsidRDefault="00565F94" w:rsidP="006F4810">
            <w:r>
              <w:t>When escape renal replacement therapy is initiated the trial drug must be paused as long the patient receives dialysis. Trial drug must be re-started when renal replacement therapy is paused or stopped. Use of escape renal replacement therapy must be described in the medical record.</w:t>
            </w:r>
          </w:p>
          <w:p w:rsidR="00565F94" w:rsidRPr="005A2BB2" w:rsidRDefault="00565F94" w:rsidP="006F4810"/>
        </w:tc>
      </w:tr>
      <w:tr w:rsidR="000E3607" w:rsidTr="00CC2CA7">
        <w:tc>
          <w:tcPr>
            <w:tcW w:w="9628" w:type="dxa"/>
          </w:tcPr>
          <w:p w:rsidR="000E3607" w:rsidRPr="00226EE4" w:rsidRDefault="000E3607" w:rsidP="00CC2CA7">
            <w:pPr>
              <w:rPr>
                <w:b/>
                <w:bCs/>
              </w:rPr>
            </w:pPr>
            <w:r w:rsidRPr="00226EE4">
              <w:rPr>
                <w:b/>
                <w:bCs/>
              </w:rPr>
              <w:t>Responsible party for administration and registration of Escape Protocol:</w:t>
            </w:r>
          </w:p>
          <w:p w:rsidR="000E3607" w:rsidRPr="00226EE4" w:rsidRDefault="000E3607" w:rsidP="00CC2CA7">
            <w:r>
              <w:t>Site investigators and research staff.</w:t>
            </w:r>
          </w:p>
        </w:tc>
      </w:tr>
      <w:tr w:rsidR="000E3607" w:rsidTr="00CC2CA7">
        <w:tc>
          <w:tcPr>
            <w:tcW w:w="9628" w:type="dxa"/>
          </w:tcPr>
          <w:p w:rsidR="000E3607" w:rsidRDefault="000E3607" w:rsidP="00CC2CA7"/>
          <w:p w:rsidR="000E3607" w:rsidRDefault="000E3607" w:rsidP="00CC2CA7">
            <w:pPr>
              <w:rPr>
                <w:lang w:val="da-DK"/>
              </w:rPr>
            </w:pPr>
            <w:r w:rsidRPr="00226EE4">
              <w:rPr>
                <w:b/>
                <w:bCs/>
              </w:rPr>
              <w:t>Approved</w:t>
            </w:r>
            <w:r w:rsidRPr="00226EE4">
              <w:rPr>
                <w:b/>
                <w:bCs/>
                <w:lang w:val="da-DK"/>
              </w:rPr>
              <w:t xml:space="preserve"> 0</w:t>
            </w:r>
            <w:r>
              <w:rPr>
                <w:b/>
                <w:bCs/>
                <w:lang w:val="da-DK"/>
              </w:rPr>
              <w:t>2</w:t>
            </w:r>
            <w:r w:rsidRPr="00226EE4">
              <w:rPr>
                <w:b/>
                <w:bCs/>
                <w:lang w:val="da-DK"/>
              </w:rPr>
              <w:t>.06 2020</w:t>
            </w:r>
            <w:r>
              <w:rPr>
                <w:lang w:val="da-DK"/>
              </w:rPr>
              <w:t>:   Sponsor, Morten Bestle</w:t>
            </w:r>
          </w:p>
          <w:p w:rsidR="000E3607" w:rsidRDefault="000E3607" w:rsidP="00CC2CA7">
            <w:pPr>
              <w:rPr>
                <w:lang w:val="da-DK"/>
              </w:rPr>
            </w:pPr>
          </w:p>
        </w:tc>
      </w:tr>
    </w:tbl>
    <w:p w:rsidR="006D1402" w:rsidRDefault="006D1402"/>
    <w:sectPr w:rsidR="006D140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58E" w:rsidRDefault="00CF6A5C">
      <w:pPr>
        <w:spacing w:after="0" w:line="240" w:lineRule="auto"/>
      </w:pPr>
      <w:r>
        <w:separator/>
      </w:r>
    </w:p>
  </w:endnote>
  <w:endnote w:type="continuationSeparator" w:id="0">
    <w:p w:rsidR="0074758E" w:rsidRDefault="00CF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B6" w:rsidRDefault="003B64B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EE4" w:rsidRPr="003B64B6" w:rsidRDefault="00886B4F" w:rsidP="00226EE4">
    <w:pPr>
      <w:pStyle w:val="Sidefod"/>
      <w:jc w:val="center"/>
      <w:rPr>
        <w:rFonts w:cstheme="minorHAnsi"/>
        <w:sz w:val="18"/>
        <w:szCs w:val="18"/>
        <w:lang w:val="da-DK"/>
      </w:rPr>
    </w:pPr>
    <w:bookmarkStart w:id="0" w:name="_GoBack"/>
    <w:r w:rsidRPr="003B64B6">
      <w:rPr>
        <w:sz w:val="18"/>
        <w:szCs w:val="18"/>
        <w:lang w:val="da-DK"/>
      </w:rPr>
      <w:t xml:space="preserve">Anæstesiologisk afdeling Nordsjællands hospital </w:t>
    </w:r>
    <w:r w:rsidRPr="003B64B6">
      <w:rPr>
        <w:rFonts w:cstheme="minorHAnsi"/>
        <w:sz w:val="18"/>
        <w:szCs w:val="18"/>
        <w:lang w:val="da-DK"/>
      </w:rPr>
      <w:t>● Dyrehavevej 29 ● 3400 Hillerød</w:t>
    </w:r>
  </w:p>
  <w:p w:rsidR="00226EE4" w:rsidRPr="003B64B6" w:rsidRDefault="00886B4F" w:rsidP="00226EE4">
    <w:pPr>
      <w:pStyle w:val="Sidefod"/>
      <w:jc w:val="center"/>
      <w:rPr>
        <w:rFonts w:cstheme="minorHAnsi"/>
        <w:sz w:val="18"/>
        <w:szCs w:val="18"/>
        <w:lang w:val="da-DK"/>
      </w:rPr>
    </w:pPr>
    <w:r w:rsidRPr="003B64B6">
      <w:rPr>
        <w:rFonts w:cstheme="minorHAnsi"/>
        <w:sz w:val="18"/>
        <w:szCs w:val="18"/>
        <w:lang w:val="da-DK"/>
      </w:rPr>
      <w:t xml:space="preserve">+45 48296773 ● </w:t>
    </w:r>
    <w:hyperlink r:id="rId1" w:history="1">
      <w:r w:rsidRPr="003B64B6">
        <w:rPr>
          <w:rStyle w:val="Hyperlink"/>
          <w:rFonts w:cstheme="minorHAnsi"/>
          <w:sz w:val="18"/>
          <w:szCs w:val="18"/>
          <w:lang w:val="da-DK"/>
        </w:rPr>
        <w:t>godif@cric.nu</w:t>
      </w:r>
    </w:hyperlink>
    <w:r w:rsidRPr="003B64B6">
      <w:rPr>
        <w:rFonts w:cstheme="minorHAnsi"/>
        <w:sz w:val="18"/>
        <w:szCs w:val="18"/>
        <w:lang w:val="da-DK"/>
      </w:rPr>
      <w:t xml:space="preserve"> ● </w:t>
    </w:r>
    <w:hyperlink r:id="rId2" w:history="1">
      <w:r w:rsidRPr="003B64B6">
        <w:rPr>
          <w:rStyle w:val="Hyperlink"/>
          <w:rFonts w:cstheme="minorHAnsi"/>
          <w:sz w:val="18"/>
          <w:szCs w:val="18"/>
          <w:lang w:val="da-DK"/>
        </w:rPr>
        <w:t>www.cric.nu/godif/</w:t>
      </w:r>
    </w:hyperlin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B6" w:rsidRDefault="003B64B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58E" w:rsidRDefault="00CF6A5C">
      <w:pPr>
        <w:spacing w:after="0" w:line="240" w:lineRule="auto"/>
      </w:pPr>
      <w:r>
        <w:separator/>
      </w:r>
    </w:p>
  </w:footnote>
  <w:footnote w:type="continuationSeparator" w:id="0">
    <w:p w:rsidR="0074758E" w:rsidRDefault="00CF6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B6" w:rsidRDefault="003B64B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B6" w:rsidRPr="003B64B6" w:rsidRDefault="003B64B6" w:rsidP="003B64B6">
    <w:pPr>
      <w:pStyle w:val="Sidehoved"/>
      <w:jc w:val="right"/>
      <w:rPr>
        <w:sz w:val="16"/>
        <w:szCs w:val="16"/>
      </w:rPr>
    </w:pPr>
    <w:proofErr w:type="spellStart"/>
    <w:r w:rsidRPr="003B64B6">
      <w:rPr>
        <w:sz w:val="16"/>
        <w:szCs w:val="16"/>
      </w:rPr>
      <w:t>SOP_escape</w:t>
    </w:r>
    <w:proofErr w:type="spellEnd"/>
    <w:r w:rsidRPr="003B64B6">
      <w:rPr>
        <w:sz w:val="16"/>
        <w:szCs w:val="16"/>
      </w:rPr>
      <w:t xml:space="preserve"> procedures_V1.0_14.08.2020</w:t>
    </w:r>
  </w:p>
  <w:p w:rsidR="00A24111" w:rsidRDefault="00886B4F">
    <w:pPr>
      <w:pStyle w:val="Sidehoved"/>
    </w:pPr>
    <w:r>
      <w:rPr>
        <w:noProof/>
      </w:rPr>
      <w:drawing>
        <wp:inline distT="0" distB="0" distL="0" distR="0" wp14:anchorId="34FA2938" wp14:editId="7C0C1611">
          <wp:extent cx="1845637" cy="476250"/>
          <wp:effectExtent l="0" t="0" r="2540" b="0"/>
          <wp:docPr id="1" name="Billede 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2047077" cy="528230"/>
                  </a:xfrm>
                  <a:prstGeom prst="rect">
                    <a:avLst/>
                  </a:prstGeom>
                </pic:spPr>
              </pic:pic>
            </a:graphicData>
          </a:graphic>
        </wp:inline>
      </w:drawing>
    </w:r>
  </w:p>
  <w:p w:rsidR="00A24111" w:rsidRDefault="003B64B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B6" w:rsidRDefault="003B64B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AA0"/>
    <w:multiLevelType w:val="hybridMultilevel"/>
    <w:tmpl w:val="E16450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30B99"/>
    <w:multiLevelType w:val="hybridMultilevel"/>
    <w:tmpl w:val="314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70CF5"/>
    <w:multiLevelType w:val="hybridMultilevel"/>
    <w:tmpl w:val="4F3AB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366A11"/>
    <w:multiLevelType w:val="hybridMultilevel"/>
    <w:tmpl w:val="B01E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32E2D"/>
    <w:multiLevelType w:val="hybridMultilevel"/>
    <w:tmpl w:val="7A9A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43"/>
    <w:rsid w:val="0001581F"/>
    <w:rsid w:val="000268D0"/>
    <w:rsid w:val="0003751C"/>
    <w:rsid w:val="000A1E81"/>
    <w:rsid w:val="000D4B6D"/>
    <w:rsid w:val="000E3607"/>
    <w:rsid w:val="00100EF3"/>
    <w:rsid w:val="002A6E78"/>
    <w:rsid w:val="003B64B6"/>
    <w:rsid w:val="00401669"/>
    <w:rsid w:val="00423D47"/>
    <w:rsid w:val="00456019"/>
    <w:rsid w:val="00456599"/>
    <w:rsid w:val="004E6D4C"/>
    <w:rsid w:val="004E7043"/>
    <w:rsid w:val="00565F94"/>
    <w:rsid w:val="005704D8"/>
    <w:rsid w:val="00604BD5"/>
    <w:rsid w:val="006A74D7"/>
    <w:rsid w:val="006D1402"/>
    <w:rsid w:val="006F4810"/>
    <w:rsid w:val="0074758E"/>
    <w:rsid w:val="007F4725"/>
    <w:rsid w:val="00857F1F"/>
    <w:rsid w:val="00877312"/>
    <w:rsid w:val="00886B4F"/>
    <w:rsid w:val="00947E9A"/>
    <w:rsid w:val="00A438EF"/>
    <w:rsid w:val="00AD3F04"/>
    <w:rsid w:val="00B67A43"/>
    <w:rsid w:val="00C558D1"/>
    <w:rsid w:val="00CF6A5C"/>
    <w:rsid w:val="00D4089B"/>
    <w:rsid w:val="00D704D4"/>
    <w:rsid w:val="00D70F19"/>
    <w:rsid w:val="00EC178D"/>
    <w:rsid w:val="00F64C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3A12"/>
  <w15:chartTrackingRefBased/>
  <w15:docId w15:val="{89782113-15C6-4F8A-B553-B03402B2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3607"/>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E36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E3607"/>
    <w:rPr>
      <w:lang w:val="en-GB"/>
    </w:rPr>
  </w:style>
  <w:style w:type="paragraph" w:styleId="Sidefod">
    <w:name w:val="footer"/>
    <w:basedOn w:val="Normal"/>
    <w:link w:val="SidefodTegn"/>
    <w:uiPriority w:val="99"/>
    <w:unhideWhenUsed/>
    <w:rsid w:val="000E36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E3607"/>
    <w:rPr>
      <w:lang w:val="en-GB"/>
    </w:rPr>
  </w:style>
  <w:style w:type="table" w:styleId="Tabel-Gitter">
    <w:name w:val="Table Grid"/>
    <w:basedOn w:val="Tabel-Normal"/>
    <w:uiPriority w:val="39"/>
    <w:rsid w:val="000E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E3607"/>
    <w:pPr>
      <w:ind w:left="720"/>
      <w:contextualSpacing/>
    </w:pPr>
  </w:style>
  <w:style w:type="character" w:styleId="Hyperlink">
    <w:name w:val="Hyperlink"/>
    <w:basedOn w:val="Standardskrifttypeiafsnit"/>
    <w:uiPriority w:val="99"/>
    <w:unhideWhenUsed/>
    <w:rsid w:val="000E3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ric.nu/godif/" TargetMode="External"/><Relationship Id="rId1" Type="http://schemas.openxmlformats.org/officeDocument/2006/relationships/hyperlink" Target="mailto:godif@cric.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344</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9</cp:revision>
  <dcterms:created xsi:type="dcterms:W3CDTF">2020-06-03T07:17:00Z</dcterms:created>
  <dcterms:modified xsi:type="dcterms:W3CDTF">2020-08-17T11:18:00Z</dcterms:modified>
</cp:coreProperties>
</file>