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402" w:rsidRDefault="006D1402">
      <w:pPr>
        <w:rPr>
          <w:lang w:val="da-DK"/>
        </w:rPr>
      </w:pPr>
    </w:p>
    <w:p w:rsidR="00A24111" w:rsidRDefault="00A24111">
      <w:pPr>
        <w:rPr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A24111" w:rsidRPr="005A2BB2" w:rsidTr="006543AC">
        <w:tc>
          <w:tcPr>
            <w:tcW w:w="1980" w:type="dxa"/>
          </w:tcPr>
          <w:p w:rsidR="00A24111" w:rsidRPr="005A2BB2" w:rsidRDefault="00A24111">
            <w:pPr>
              <w:rPr>
                <w:b/>
                <w:bCs/>
              </w:rPr>
            </w:pPr>
            <w:r w:rsidRPr="005A2BB2">
              <w:rPr>
                <w:b/>
                <w:bCs/>
              </w:rPr>
              <w:t>Protocol title</w:t>
            </w:r>
          </w:p>
        </w:tc>
        <w:tc>
          <w:tcPr>
            <w:tcW w:w="7648" w:type="dxa"/>
          </w:tcPr>
          <w:p w:rsidR="00A24111" w:rsidRPr="00170989" w:rsidRDefault="00A24111">
            <w:pPr>
              <w:rPr>
                <w:b/>
                <w:bCs/>
              </w:rPr>
            </w:pPr>
            <w:r w:rsidRPr="00170989">
              <w:rPr>
                <w:b/>
                <w:bCs/>
              </w:rPr>
              <w:t>GODIF</w:t>
            </w:r>
          </w:p>
          <w:p w:rsidR="00A24111" w:rsidRPr="005A2BB2" w:rsidRDefault="00A24111">
            <w:r w:rsidRPr="005A2BB2">
              <w:t>Goal directed fluid removal with furosemide in inte</w:t>
            </w:r>
            <w:r w:rsidR="005A2BB2">
              <w:t>n</w:t>
            </w:r>
            <w:r w:rsidRPr="005A2BB2">
              <w:t>sive care patients with fluid overload – A randomised, blinded, placebo-controlled trial (GODIF)</w:t>
            </w:r>
          </w:p>
          <w:p w:rsidR="00A24111" w:rsidRPr="005A2BB2" w:rsidRDefault="00A24111">
            <w:r w:rsidRPr="005A2BB2">
              <w:t>EudraCT: 2019-004292-40; ClinicalTrials.gov: NCT04180397</w:t>
            </w:r>
          </w:p>
        </w:tc>
      </w:tr>
      <w:tr w:rsidR="00A24111" w:rsidRPr="005A2BB2" w:rsidTr="006543AC">
        <w:tc>
          <w:tcPr>
            <w:tcW w:w="1980" w:type="dxa"/>
          </w:tcPr>
          <w:p w:rsidR="00A24111" w:rsidRPr="005A2BB2" w:rsidRDefault="00A24111">
            <w:pPr>
              <w:rPr>
                <w:b/>
                <w:bCs/>
              </w:rPr>
            </w:pPr>
            <w:r w:rsidRPr="005A2BB2">
              <w:rPr>
                <w:b/>
                <w:bCs/>
              </w:rPr>
              <w:t>SOP name</w:t>
            </w:r>
          </w:p>
        </w:tc>
        <w:tc>
          <w:tcPr>
            <w:tcW w:w="7648" w:type="dxa"/>
          </w:tcPr>
          <w:p w:rsidR="00A24111" w:rsidRPr="005A2BB2" w:rsidRDefault="00A24111">
            <w:r w:rsidRPr="005A2BB2">
              <w:t>Trial medication</w:t>
            </w:r>
          </w:p>
        </w:tc>
      </w:tr>
      <w:tr w:rsidR="00A24111" w:rsidRPr="005A2BB2" w:rsidTr="006543AC">
        <w:tc>
          <w:tcPr>
            <w:tcW w:w="1980" w:type="dxa"/>
          </w:tcPr>
          <w:p w:rsidR="00A24111" w:rsidRPr="005A2BB2" w:rsidRDefault="00A24111">
            <w:pPr>
              <w:rPr>
                <w:b/>
                <w:bCs/>
              </w:rPr>
            </w:pPr>
            <w:r w:rsidRPr="005A2BB2">
              <w:rPr>
                <w:b/>
                <w:bCs/>
              </w:rPr>
              <w:t>Version</w:t>
            </w:r>
          </w:p>
        </w:tc>
        <w:tc>
          <w:tcPr>
            <w:tcW w:w="7648" w:type="dxa"/>
          </w:tcPr>
          <w:p w:rsidR="00A24111" w:rsidRPr="005A2BB2" w:rsidRDefault="00A24111">
            <w:r w:rsidRPr="005A2BB2">
              <w:t>1.0</w:t>
            </w:r>
          </w:p>
        </w:tc>
      </w:tr>
      <w:tr w:rsidR="00A24111" w:rsidRPr="005A2BB2" w:rsidTr="006543AC">
        <w:tc>
          <w:tcPr>
            <w:tcW w:w="1980" w:type="dxa"/>
          </w:tcPr>
          <w:p w:rsidR="00A24111" w:rsidRPr="005A2BB2" w:rsidRDefault="00A24111">
            <w:pPr>
              <w:rPr>
                <w:b/>
                <w:bCs/>
              </w:rPr>
            </w:pPr>
            <w:r w:rsidRPr="005A2BB2">
              <w:rPr>
                <w:b/>
                <w:bCs/>
              </w:rPr>
              <w:t>Applied from</w:t>
            </w:r>
          </w:p>
        </w:tc>
        <w:tc>
          <w:tcPr>
            <w:tcW w:w="7648" w:type="dxa"/>
          </w:tcPr>
          <w:p w:rsidR="00A24111" w:rsidRPr="005A2BB2" w:rsidRDefault="00A24111">
            <w:r w:rsidRPr="005A2BB2">
              <w:t>02.06 2020</w:t>
            </w:r>
          </w:p>
        </w:tc>
      </w:tr>
    </w:tbl>
    <w:p w:rsidR="00A24111" w:rsidRPr="005A2BB2" w:rsidRDefault="00A2411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00F2" w:rsidRPr="005A2BB2" w:rsidTr="00A300F2">
        <w:tc>
          <w:tcPr>
            <w:tcW w:w="9628" w:type="dxa"/>
          </w:tcPr>
          <w:p w:rsidR="00A300F2" w:rsidRPr="005A2BB2" w:rsidRDefault="00A300F2">
            <w:r w:rsidRPr="005A2BB2">
              <w:rPr>
                <w:b/>
                <w:bCs/>
              </w:rPr>
              <w:t>Target population</w:t>
            </w:r>
            <w:r w:rsidRPr="005A2BB2">
              <w:t>: Site investigators and research staff</w:t>
            </w:r>
          </w:p>
        </w:tc>
      </w:tr>
      <w:tr w:rsidR="00A300F2" w:rsidRPr="005A2BB2" w:rsidTr="00A300F2">
        <w:tc>
          <w:tcPr>
            <w:tcW w:w="9628" w:type="dxa"/>
          </w:tcPr>
          <w:p w:rsidR="00A300F2" w:rsidRPr="005A2BB2" w:rsidRDefault="00A300F2">
            <w:r w:rsidRPr="005A2BB2">
              <w:rPr>
                <w:b/>
                <w:bCs/>
              </w:rPr>
              <w:t>Responsible party</w:t>
            </w:r>
            <w:r w:rsidRPr="005A2BB2">
              <w:t>: Sponsor, Senior staff specialist and Associate Professor Morten Bestle</w:t>
            </w:r>
          </w:p>
        </w:tc>
      </w:tr>
      <w:tr w:rsidR="00A300F2" w:rsidRPr="005A2BB2" w:rsidTr="00A300F2">
        <w:tc>
          <w:tcPr>
            <w:tcW w:w="9628" w:type="dxa"/>
          </w:tcPr>
          <w:p w:rsidR="00A300F2" w:rsidRPr="005A2BB2" w:rsidRDefault="00A300F2">
            <w:r w:rsidRPr="005A2BB2">
              <w:rPr>
                <w:b/>
                <w:bCs/>
              </w:rPr>
              <w:t>Created by</w:t>
            </w:r>
            <w:r w:rsidRPr="005A2BB2">
              <w:t>: Coordinating Investigator; Sine Wichmann</w:t>
            </w:r>
          </w:p>
        </w:tc>
      </w:tr>
      <w:tr w:rsidR="00A300F2" w:rsidRPr="005A2BB2" w:rsidTr="00A300F2">
        <w:tc>
          <w:tcPr>
            <w:tcW w:w="9628" w:type="dxa"/>
          </w:tcPr>
          <w:p w:rsidR="00A300F2" w:rsidRPr="005A2BB2" w:rsidRDefault="006543AC" w:rsidP="006543AC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5A2BB2">
              <w:rPr>
                <w:b/>
                <w:bCs/>
                <w:u w:val="single"/>
              </w:rPr>
              <w:t>Objective</w:t>
            </w:r>
          </w:p>
          <w:p w:rsidR="006543AC" w:rsidRPr="005A2BB2" w:rsidRDefault="006543AC" w:rsidP="00411D7C">
            <w:pPr>
              <w:pStyle w:val="Listeafsnit"/>
              <w:numPr>
                <w:ilvl w:val="0"/>
                <w:numId w:val="2"/>
              </w:numPr>
            </w:pPr>
            <w:r w:rsidRPr="005A2BB2">
              <w:t>To define</w:t>
            </w:r>
            <w:r w:rsidR="00411D7C" w:rsidRPr="005A2BB2">
              <w:t xml:space="preserve"> starting dose of trial drug</w:t>
            </w:r>
          </w:p>
          <w:p w:rsidR="00411D7C" w:rsidRPr="005A2BB2" w:rsidRDefault="00411D7C" w:rsidP="00411D7C">
            <w:pPr>
              <w:pStyle w:val="Listeafsnit"/>
              <w:numPr>
                <w:ilvl w:val="0"/>
                <w:numId w:val="2"/>
              </w:numPr>
            </w:pPr>
            <w:r w:rsidRPr="005A2BB2">
              <w:t>To describe how to adjust the infusion of the trial drug</w:t>
            </w:r>
          </w:p>
          <w:p w:rsidR="00411D7C" w:rsidRDefault="00411D7C" w:rsidP="00411D7C">
            <w:pPr>
              <w:pStyle w:val="Listeafsnit"/>
              <w:numPr>
                <w:ilvl w:val="0"/>
                <w:numId w:val="2"/>
              </w:numPr>
            </w:pPr>
            <w:r w:rsidRPr="005A2BB2">
              <w:t>To describe how to pause and re-activate trial medication</w:t>
            </w:r>
          </w:p>
          <w:p w:rsidR="00CA27D8" w:rsidRPr="005A2BB2" w:rsidRDefault="00CA27D8" w:rsidP="00411D7C">
            <w:pPr>
              <w:pStyle w:val="Listeafsnit"/>
              <w:numPr>
                <w:ilvl w:val="0"/>
                <w:numId w:val="2"/>
              </w:numPr>
            </w:pPr>
            <w:r>
              <w:t>To describe stopping criteria</w:t>
            </w:r>
          </w:p>
          <w:p w:rsidR="00411D7C" w:rsidRDefault="00411D7C" w:rsidP="00411D7C">
            <w:pPr>
              <w:pStyle w:val="Listeafsnit"/>
              <w:numPr>
                <w:ilvl w:val="0"/>
                <w:numId w:val="2"/>
              </w:numPr>
            </w:pPr>
            <w:r w:rsidRPr="005A2BB2">
              <w:t>To ensure uniform working procedures for pausin</w:t>
            </w:r>
            <w:r w:rsidR="005A2BB2">
              <w:t>g</w:t>
            </w:r>
            <w:r w:rsidRPr="005A2BB2">
              <w:t xml:space="preserve"> and re-activation of trial medication</w:t>
            </w:r>
          </w:p>
          <w:p w:rsidR="00462D95" w:rsidRPr="005A2BB2" w:rsidRDefault="00462D95" w:rsidP="00462D95">
            <w:pPr>
              <w:pStyle w:val="Listeafsnit"/>
            </w:pPr>
          </w:p>
        </w:tc>
      </w:tr>
      <w:tr w:rsidR="00A300F2" w:rsidRPr="005A2BB2" w:rsidTr="00A300F2">
        <w:tc>
          <w:tcPr>
            <w:tcW w:w="9628" w:type="dxa"/>
          </w:tcPr>
          <w:p w:rsidR="00A300F2" w:rsidRPr="005A2BB2" w:rsidRDefault="00411D7C" w:rsidP="00411D7C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5A2BB2">
              <w:rPr>
                <w:b/>
                <w:bCs/>
                <w:u w:val="single"/>
              </w:rPr>
              <w:t>Description:</w:t>
            </w:r>
          </w:p>
          <w:p w:rsidR="00411D7C" w:rsidRPr="005A2BB2" w:rsidRDefault="00411D7C" w:rsidP="00411D7C">
            <w:pPr>
              <w:pStyle w:val="Listeafsnit"/>
              <w:rPr>
                <w:b/>
                <w:bCs/>
              </w:rPr>
            </w:pPr>
          </w:p>
          <w:p w:rsidR="00411D7C" w:rsidRPr="005A2BB2" w:rsidRDefault="00411D7C" w:rsidP="00411D7C">
            <w:r w:rsidRPr="005A2BB2">
              <w:rPr>
                <w:b/>
                <w:bCs/>
              </w:rPr>
              <w:t>2.1 Starting dose</w:t>
            </w:r>
            <w:r w:rsidRPr="005A2BB2">
              <w:t>:</w:t>
            </w:r>
          </w:p>
          <w:p w:rsidR="00411D7C" w:rsidRPr="005A2BB2" w:rsidRDefault="00411D7C" w:rsidP="00411D7C">
            <w:r w:rsidRPr="005A2BB2">
              <w:t>4 ml of trial drug as a bolus injection, followed by infusion of trial drug with 2 ml/hour.</w:t>
            </w:r>
          </w:p>
          <w:p w:rsidR="00411D7C" w:rsidRPr="005A2BB2" w:rsidRDefault="00411D7C" w:rsidP="00411D7C"/>
          <w:p w:rsidR="00411D7C" w:rsidRPr="005A2BB2" w:rsidRDefault="00411D7C" w:rsidP="00411D7C">
            <w:r w:rsidRPr="005A2BB2">
              <w:rPr>
                <w:b/>
                <w:bCs/>
              </w:rPr>
              <w:t>2.2 Adjustment of trial drug infusion</w:t>
            </w:r>
            <w:r w:rsidRPr="005A2BB2">
              <w:t>:</w:t>
            </w:r>
          </w:p>
          <w:p w:rsidR="00411D7C" w:rsidRDefault="00411D7C" w:rsidP="00411D7C">
            <w:r w:rsidRPr="005A2BB2">
              <w:t>Infusion of trial drug must be adjusted according to effect and fluid balance. The infusion rate is 0-4 ml/hour. Target is a negativ</w:t>
            </w:r>
            <w:r w:rsidR="005A2BB2">
              <w:t>e</w:t>
            </w:r>
            <w:r w:rsidRPr="005A2BB2">
              <w:t xml:space="preserve"> fluid balance of at least 1 ml/kg/hour. Minimum assessment of the effect of trial drug is 3 times a day when the</w:t>
            </w:r>
            <w:r w:rsidR="005A2BB2" w:rsidRPr="005A2BB2">
              <w:t xml:space="preserve"> nurses calculate the</w:t>
            </w:r>
            <w:r w:rsidRPr="005A2BB2">
              <w:t xml:space="preserve"> fluid balance (often at 06:00 am, 2:</w:t>
            </w:r>
            <w:r w:rsidR="005A2BB2" w:rsidRPr="005A2BB2">
              <w:t>00 pm</w:t>
            </w:r>
            <w:r w:rsidRPr="005A2BB2">
              <w:t xml:space="preserve"> and 10:00 pm)</w:t>
            </w:r>
            <w:r w:rsidR="005A2BB2" w:rsidRPr="005A2BB2">
              <w:t xml:space="preserve">. </w:t>
            </w:r>
            <w:r w:rsidR="005A2BB2">
              <w:t xml:space="preserve">It will often be a good idea to assess the infusion rate more often to ensure the reach the target. The infusion </w:t>
            </w:r>
            <w:r w:rsidR="00CA27D8">
              <w:t xml:space="preserve">rate </w:t>
            </w:r>
            <w:r w:rsidR="005A2BB2">
              <w:t>must be increased until the target is reached</w:t>
            </w:r>
            <w:r w:rsidR="00CA27D8">
              <w:t>.</w:t>
            </w:r>
            <w:r w:rsidR="005A2BB2">
              <w:t xml:space="preserve"> If the target fluid balance cannot be reached on maximum infusion rate </w:t>
            </w:r>
            <w:r w:rsidR="00CA27D8">
              <w:t xml:space="preserve">of 4 ml/hour – the maximum infusion must continue. </w:t>
            </w:r>
          </w:p>
          <w:p w:rsidR="00CA27D8" w:rsidRDefault="00620DA8" w:rsidP="00411D7C">
            <w:r>
              <w:t xml:space="preserve">When a vial of trial drug is opened – the trial drug must be used within 24 hours. Infusion of trial drug must be replaced with new trial drug every 24 hours or more </w:t>
            </w:r>
            <w:r w:rsidR="00606811">
              <w:t>often</w:t>
            </w:r>
            <w:r>
              <w:t>.</w:t>
            </w:r>
          </w:p>
          <w:p w:rsidR="00620DA8" w:rsidRDefault="00620DA8" w:rsidP="00411D7C"/>
          <w:p w:rsidR="00CA27D8" w:rsidRPr="00CA27D8" w:rsidRDefault="00CA27D8" w:rsidP="00411D7C">
            <w:pPr>
              <w:rPr>
                <w:b/>
                <w:bCs/>
              </w:rPr>
            </w:pPr>
            <w:r w:rsidRPr="00CA27D8">
              <w:rPr>
                <w:b/>
                <w:bCs/>
              </w:rPr>
              <w:t>2.3 Pausing and re-activating trial medication:</w:t>
            </w:r>
          </w:p>
          <w:p w:rsidR="00CA27D8" w:rsidRDefault="00CA27D8" w:rsidP="00411D7C">
            <w:r>
              <w:t xml:space="preserve">When the patient </w:t>
            </w:r>
            <w:r w:rsidRPr="00ED23AD">
              <w:rPr>
                <w:i/>
                <w:iCs/>
              </w:rPr>
              <w:t>has reached neutral fluid balance</w:t>
            </w:r>
            <w:r>
              <w:t xml:space="preserve"> (+/- 750 ml in cumulative fluid balance) the </w:t>
            </w:r>
            <w:r w:rsidR="0078728D">
              <w:t>fluid removal must be stopped. Trial drug must be adjusted to keep the patient’s fluid balance neutral. If possible, the trial drug can be paused. It must be re-activated in case the cumulative fluid balance increases to &gt; +750 ml.</w:t>
            </w:r>
          </w:p>
          <w:p w:rsidR="00ED23AD" w:rsidRDefault="00ED23AD" w:rsidP="00411D7C"/>
          <w:p w:rsidR="00073BC6" w:rsidRDefault="00073BC6" w:rsidP="00411D7C">
            <w:r>
              <w:t xml:space="preserve">In case </w:t>
            </w:r>
            <w:r w:rsidRPr="00ED23AD">
              <w:rPr>
                <w:i/>
                <w:iCs/>
              </w:rPr>
              <w:t>of</w:t>
            </w:r>
            <w:r w:rsidR="00ED23AD" w:rsidRPr="00ED23AD">
              <w:rPr>
                <w:i/>
                <w:iCs/>
              </w:rPr>
              <w:t xml:space="preserve"> circulatory instability</w:t>
            </w:r>
            <w:r w:rsidR="00ED23AD">
              <w:t xml:space="preserve"> (MAP &lt; 50 mmHg </w:t>
            </w:r>
            <w:r w:rsidR="00ED23AD" w:rsidRPr="00ED23AD">
              <w:rPr>
                <w:i/>
                <w:iCs/>
              </w:rPr>
              <w:t>or</w:t>
            </w:r>
            <w:r w:rsidR="00ED23AD">
              <w:t xml:space="preserve"> lactate </w:t>
            </w:r>
            <w:r w:rsidR="00ED23AD">
              <w:rPr>
                <w:rFonts w:cstheme="minorHAnsi"/>
              </w:rPr>
              <w:t xml:space="preserve">≥ </w:t>
            </w:r>
            <w:r w:rsidR="00ED23AD">
              <w:t xml:space="preserve">4.0 </w:t>
            </w:r>
            <w:r w:rsidR="00ED23AD" w:rsidRPr="00ED23AD">
              <w:rPr>
                <w:i/>
                <w:iCs/>
              </w:rPr>
              <w:t>or</w:t>
            </w:r>
            <w:r w:rsidR="00ED23AD">
              <w:t xml:space="preserve"> mottling beyond the edge of the kneecaps the trial drug must be paused and the resuscitation algorithm may be started. Fluid bolus of 250-500 mL crystalloids and re</w:t>
            </w:r>
            <w:r w:rsidR="009A4734">
              <w:t>-evaluate</w:t>
            </w:r>
            <w:r w:rsidR="00ED23AD">
              <w:t xml:space="preserve"> the circulation within 30 min.</w:t>
            </w:r>
            <w:r w:rsidR="009A4734">
              <w:t xml:space="preserve"> Repeat re-evaluation and optional fluid therapy until adequate circulation (lactate &lt; 4.</w:t>
            </w:r>
            <w:r w:rsidR="00226EE4">
              <w:t>0</w:t>
            </w:r>
            <w:r w:rsidR="009A4734">
              <w:t>, MAP &gt; 50 mmHg</w:t>
            </w:r>
            <w:r w:rsidR="00226EE4">
              <w:t>,</w:t>
            </w:r>
            <w:r w:rsidR="009A4734">
              <w:t xml:space="preserve"> and no mottling beyond </w:t>
            </w:r>
            <w:r w:rsidR="009A4734">
              <w:lastRenderedPageBreak/>
              <w:t xml:space="preserve">kneecaps). </w:t>
            </w:r>
            <w:r w:rsidR="00ED23AD">
              <w:t xml:space="preserve">When all the criteria have been resolved for minimum of 1 hour – </w:t>
            </w:r>
            <w:r w:rsidR="00226EE4">
              <w:t>restart</w:t>
            </w:r>
            <w:r w:rsidR="00ED23AD">
              <w:t xml:space="preserve"> trial drug </w:t>
            </w:r>
            <w:r w:rsidR="00226EE4">
              <w:t>at</w:t>
            </w:r>
            <w:r w:rsidR="00ED23AD">
              <w:t xml:space="preserve"> 25% reduced dose</w:t>
            </w:r>
            <w:r w:rsidR="00226EE4">
              <w:t xml:space="preserve"> for minimum 4 hours before evaluation of effect and further titration of trial drug.</w:t>
            </w:r>
          </w:p>
          <w:p w:rsidR="00ED23AD" w:rsidRDefault="00ED23AD" w:rsidP="00411D7C"/>
          <w:p w:rsidR="0078728D" w:rsidRDefault="0078728D" w:rsidP="00411D7C">
            <w:r>
              <w:t xml:space="preserve">In case </w:t>
            </w:r>
            <w:r w:rsidRPr="00ED23AD">
              <w:rPr>
                <w:i/>
                <w:iCs/>
              </w:rPr>
              <w:t>of escape renal replacement therapy</w:t>
            </w:r>
            <w:r>
              <w:t>, the trial drug must be paused, but re-activated when the renal replacement therapy is paused or terminated.</w:t>
            </w:r>
          </w:p>
          <w:p w:rsidR="0078728D" w:rsidRDefault="0078728D" w:rsidP="00411D7C"/>
          <w:p w:rsidR="0078728D" w:rsidRPr="0078728D" w:rsidRDefault="0078728D" w:rsidP="00411D7C">
            <w:pPr>
              <w:rPr>
                <w:b/>
                <w:bCs/>
              </w:rPr>
            </w:pPr>
            <w:r w:rsidRPr="0078728D">
              <w:rPr>
                <w:b/>
                <w:bCs/>
              </w:rPr>
              <w:t>2.4 Stopping criteria:</w:t>
            </w:r>
          </w:p>
          <w:p w:rsidR="00604A3C" w:rsidRDefault="00604A3C" w:rsidP="0078728D">
            <w:pPr>
              <w:pStyle w:val="Listeafsnit"/>
              <w:numPr>
                <w:ilvl w:val="0"/>
                <w:numId w:val="3"/>
              </w:numPr>
            </w:pPr>
            <w:r>
              <w:t>Neutral fluid balance</w:t>
            </w:r>
            <w:bookmarkStart w:id="0" w:name="_GoBack"/>
            <w:bookmarkEnd w:id="0"/>
          </w:p>
          <w:p w:rsidR="0078728D" w:rsidRDefault="0078728D" w:rsidP="0078728D">
            <w:pPr>
              <w:pStyle w:val="Listeafsnit"/>
              <w:numPr>
                <w:ilvl w:val="0"/>
                <w:numId w:val="3"/>
              </w:numPr>
            </w:pPr>
            <w:r>
              <w:t>Discharge from the ICU</w:t>
            </w:r>
          </w:p>
          <w:p w:rsidR="0078728D" w:rsidRDefault="0078728D" w:rsidP="0078728D">
            <w:pPr>
              <w:pStyle w:val="Listeafsnit"/>
              <w:numPr>
                <w:ilvl w:val="0"/>
                <w:numId w:val="3"/>
              </w:numPr>
            </w:pPr>
            <w:r>
              <w:t>Transferal to another ICU (not participating in GODIF)</w:t>
            </w:r>
          </w:p>
          <w:p w:rsidR="0078728D" w:rsidRDefault="0078728D" w:rsidP="0078728D">
            <w:pPr>
              <w:pStyle w:val="Listeafsnit"/>
              <w:numPr>
                <w:ilvl w:val="0"/>
                <w:numId w:val="3"/>
              </w:numPr>
            </w:pPr>
            <w:r>
              <w:t>Death in the ICU</w:t>
            </w:r>
          </w:p>
          <w:p w:rsidR="00462D95" w:rsidRDefault="0078728D" w:rsidP="00462D95">
            <w:pPr>
              <w:pStyle w:val="Listeafsnit"/>
              <w:numPr>
                <w:ilvl w:val="0"/>
                <w:numId w:val="3"/>
              </w:numPr>
            </w:pPr>
            <w:r>
              <w:t>90 days post randomisation</w:t>
            </w:r>
          </w:p>
          <w:p w:rsidR="00462D95" w:rsidRPr="005A2BB2" w:rsidRDefault="00462D95" w:rsidP="00462D95">
            <w:pPr>
              <w:pStyle w:val="Listeafsnit"/>
            </w:pPr>
          </w:p>
        </w:tc>
      </w:tr>
      <w:tr w:rsidR="00A300F2" w:rsidTr="00A300F2">
        <w:tc>
          <w:tcPr>
            <w:tcW w:w="9628" w:type="dxa"/>
          </w:tcPr>
          <w:p w:rsidR="00462D95" w:rsidRPr="00462D95" w:rsidRDefault="00226EE4">
            <w:pPr>
              <w:rPr>
                <w:b/>
                <w:bCs/>
              </w:rPr>
            </w:pPr>
            <w:r w:rsidRPr="00226EE4">
              <w:rPr>
                <w:b/>
                <w:bCs/>
              </w:rPr>
              <w:lastRenderedPageBreak/>
              <w:t>Responsible party for administration and registration of Escape Protocol:</w:t>
            </w:r>
          </w:p>
          <w:p w:rsidR="00462D95" w:rsidRPr="00226EE4" w:rsidRDefault="00226EE4" w:rsidP="00462D95">
            <w:r>
              <w:t>Site investigators and research staff.</w:t>
            </w:r>
          </w:p>
        </w:tc>
      </w:tr>
      <w:tr w:rsidR="00A300F2" w:rsidTr="00A300F2">
        <w:tc>
          <w:tcPr>
            <w:tcW w:w="9628" w:type="dxa"/>
          </w:tcPr>
          <w:p w:rsidR="00226EE4" w:rsidRDefault="00226EE4"/>
          <w:p w:rsidR="00A300F2" w:rsidRDefault="00226EE4">
            <w:pPr>
              <w:rPr>
                <w:lang w:val="da-DK"/>
              </w:rPr>
            </w:pPr>
            <w:r w:rsidRPr="00226EE4">
              <w:rPr>
                <w:b/>
                <w:bCs/>
              </w:rPr>
              <w:t>Approved</w:t>
            </w:r>
            <w:r w:rsidRPr="00226EE4">
              <w:rPr>
                <w:b/>
                <w:bCs/>
                <w:lang w:val="da-DK"/>
              </w:rPr>
              <w:t xml:space="preserve"> </w:t>
            </w:r>
            <w:r w:rsidR="003905A4">
              <w:rPr>
                <w:b/>
                <w:bCs/>
                <w:lang w:val="da-DK"/>
              </w:rPr>
              <w:t>15</w:t>
            </w:r>
            <w:r w:rsidRPr="00226EE4">
              <w:rPr>
                <w:b/>
                <w:bCs/>
                <w:lang w:val="da-DK"/>
              </w:rPr>
              <w:t>.06 2020</w:t>
            </w:r>
            <w:r>
              <w:rPr>
                <w:lang w:val="da-DK"/>
              </w:rPr>
              <w:t>:   Sponsor, Morten Bestle</w:t>
            </w:r>
          </w:p>
          <w:p w:rsidR="00226EE4" w:rsidRDefault="00226EE4">
            <w:pPr>
              <w:rPr>
                <w:lang w:val="da-DK"/>
              </w:rPr>
            </w:pPr>
          </w:p>
        </w:tc>
      </w:tr>
    </w:tbl>
    <w:p w:rsidR="000200B4" w:rsidRPr="00A24111" w:rsidRDefault="000200B4">
      <w:pPr>
        <w:rPr>
          <w:lang w:val="da-DK"/>
        </w:rPr>
      </w:pPr>
    </w:p>
    <w:sectPr w:rsidR="000200B4" w:rsidRPr="00A24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111" w:rsidRDefault="00A24111" w:rsidP="00A24111">
      <w:pPr>
        <w:spacing w:after="0" w:line="240" w:lineRule="auto"/>
      </w:pPr>
      <w:r>
        <w:separator/>
      </w:r>
    </w:p>
  </w:endnote>
  <w:endnote w:type="continuationSeparator" w:id="0">
    <w:p w:rsidR="00A24111" w:rsidRDefault="00A24111" w:rsidP="00A2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68" w:rsidRDefault="009F556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E4" w:rsidRPr="009F5568" w:rsidRDefault="00226EE4" w:rsidP="00226EE4">
    <w:pPr>
      <w:pStyle w:val="Sidefod"/>
      <w:jc w:val="center"/>
      <w:rPr>
        <w:rFonts w:cstheme="minorHAnsi"/>
        <w:sz w:val="18"/>
        <w:szCs w:val="18"/>
        <w:lang w:val="da-DK"/>
      </w:rPr>
    </w:pPr>
    <w:r w:rsidRPr="009F5568">
      <w:rPr>
        <w:sz w:val="18"/>
        <w:szCs w:val="18"/>
        <w:lang w:val="da-DK"/>
      </w:rPr>
      <w:t xml:space="preserve">Anæstesiologisk afdeling Nordsjællands hospital </w:t>
    </w:r>
    <w:r w:rsidRPr="009F5568">
      <w:rPr>
        <w:rFonts w:cstheme="minorHAnsi"/>
        <w:sz w:val="18"/>
        <w:szCs w:val="18"/>
        <w:lang w:val="da-DK"/>
      </w:rPr>
      <w:t>● Dyrehavevej 29 ● 3400 Hillerød</w:t>
    </w:r>
  </w:p>
  <w:p w:rsidR="00226EE4" w:rsidRPr="009F5568" w:rsidRDefault="00226EE4" w:rsidP="00226EE4">
    <w:pPr>
      <w:pStyle w:val="Sidefod"/>
      <w:jc w:val="center"/>
      <w:rPr>
        <w:rFonts w:cstheme="minorHAnsi"/>
        <w:sz w:val="18"/>
        <w:szCs w:val="18"/>
        <w:lang w:val="da-DK"/>
      </w:rPr>
    </w:pPr>
    <w:r w:rsidRPr="009F5568">
      <w:rPr>
        <w:rFonts w:cstheme="minorHAnsi"/>
        <w:sz w:val="18"/>
        <w:szCs w:val="18"/>
        <w:lang w:val="da-DK"/>
      </w:rPr>
      <w:t xml:space="preserve">+45 48296773 ● </w:t>
    </w:r>
    <w:r w:rsidR="00604A3C">
      <w:fldChar w:fldCharType="begin"/>
    </w:r>
    <w:r w:rsidR="00604A3C" w:rsidRPr="00604A3C">
      <w:rPr>
        <w:lang w:val="da-DK"/>
      </w:rPr>
      <w:instrText xml:space="preserve"> HYPERLINK "mailto:godif@cric.nu" </w:instrText>
    </w:r>
    <w:r w:rsidR="00604A3C">
      <w:fldChar w:fldCharType="separate"/>
    </w:r>
    <w:r w:rsidRPr="009F5568">
      <w:rPr>
        <w:rStyle w:val="Hyperlink"/>
        <w:rFonts w:cstheme="minorHAnsi"/>
        <w:sz w:val="18"/>
        <w:szCs w:val="18"/>
        <w:lang w:val="da-DK"/>
      </w:rPr>
      <w:t>godif@cric.nu</w:t>
    </w:r>
    <w:r w:rsidR="00604A3C">
      <w:rPr>
        <w:rStyle w:val="Hyperlink"/>
        <w:rFonts w:cstheme="minorHAnsi"/>
        <w:sz w:val="18"/>
        <w:szCs w:val="18"/>
        <w:lang w:val="da-DK"/>
      </w:rPr>
      <w:fldChar w:fldCharType="end"/>
    </w:r>
    <w:r w:rsidRPr="009F5568">
      <w:rPr>
        <w:rFonts w:cstheme="minorHAnsi"/>
        <w:sz w:val="18"/>
        <w:szCs w:val="18"/>
        <w:lang w:val="da-DK"/>
      </w:rPr>
      <w:t xml:space="preserve"> ● </w:t>
    </w:r>
    <w:hyperlink r:id="rId1" w:history="1">
      <w:r w:rsidRPr="009F5568">
        <w:rPr>
          <w:rStyle w:val="Hyperlink"/>
          <w:rFonts w:cstheme="minorHAnsi"/>
          <w:sz w:val="18"/>
          <w:szCs w:val="18"/>
          <w:lang w:val="da-DK"/>
        </w:rPr>
        <w:t>www.cric.nu/godif/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68" w:rsidRDefault="009F556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111" w:rsidRDefault="00A24111" w:rsidP="00A24111">
      <w:pPr>
        <w:spacing w:after="0" w:line="240" w:lineRule="auto"/>
      </w:pPr>
      <w:r>
        <w:separator/>
      </w:r>
    </w:p>
  </w:footnote>
  <w:footnote w:type="continuationSeparator" w:id="0">
    <w:p w:rsidR="00A24111" w:rsidRDefault="00A24111" w:rsidP="00A2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68" w:rsidRDefault="009F556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68" w:rsidRPr="009F5568" w:rsidRDefault="009F5568" w:rsidP="009F5568">
    <w:pPr>
      <w:pStyle w:val="Sidehoved"/>
      <w:jc w:val="right"/>
      <w:rPr>
        <w:sz w:val="16"/>
        <w:szCs w:val="16"/>
      </w:rPr>
    </w:pPr>
    <w:proofErr w:type="spellStart"/>
    <w:r w:rsidRPr="009F5568">
      <w:rPr>
        <w:sz w:val="16"/>
        <w:szCs w:val="16"/>
      </w:rPr>
      <w:t>SOP_trial</w:t>
    </w:r>
    <w:proofErr w:type="spellEnd"/>
    <w:r w:rsidRPr="009F5568">
      <w:rPr>
        <w:sz w:val="16"/>
        <w:szCs w:val="16"/>
      </w:rPr>
      <w:t xml:space="preserve"> medication_V1.0_14.08.2020</w:t>
    </w:r>
  </w:p>
  <w:p w:rsidR="00A24111" w:rsidRDefault="00A24111">
    <w:pPr>
      <w:pStyle w:val="Sidehoved"/>
    </w:pPr>
    <w:r>
      <w:rPr>
        <w:noProof/>
      </w:rPr>
      <w:drawing>
        <wp:inline distT="0" distB="0" distL="0" distR="0">
          <wp:extent cx="1845637" cy="476250"/>
          <wp:effectExtent l="0" t="0" r="254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077" cy="528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111" w:rsidRDefault="00A2411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68" w:rsidRDefault="009F556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AA0"/>
    <w:multiLevelType w:val="hybridMultilevel"/>
    <w:tmpl w:val="E1645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70CF5"/>
    <w:multiLevelType w:val="hybridMultilevel"/>
    <w:tmpl w:val="4F3AB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A11"/>
    <w:multiLevelType w:val="hybridMultilevel"/>
    <w:tmpl w:val="B01E0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11"/>
    <w:rsid w:val="0001581F"/>
    <w:rsid w:val="000200B4"/>
    <w:rsid w:val="000268D0"/>
    <w:rsid w:val="0003751C"/>
    <w:rsid w:val="00073BC6"/>
    <w:rsid w:val="000A1E81"/>
    <w:rsid w:val="000D4B6D"/>
    <w:rsid w:val="00100EF3"/>
    <w:rsid w:val="00170989"/>
    <w:rsid w:val="001B7870"/>
    <w:rsid w:val="00226EE4"/>
    <w:rsid w:val="002A6E78"/>
    <w:rsid w:val="003905A4"/>
    <w:rsid w:val="003C6F44"/>
    <w:rsid w:val="00411D7C"/>
    <w:rsid w:val="00423D47"/>
    <w:rsid w:val="00456019"/>
    <w:rsid w:val="00456599"/>
    <w:rsid w:val="00462D95"/>
    <w:rsid w:val="004E6D4C"/>
    <w:rsid w:val="004E7043"/>
    <w:rsid w:val="005704D8"/>
    <w:rsid w:val="005A2BB2"/>
    <w:rsid w:val="00604A3C"/>
    <w:rsid w:val="00604BD5"/>
    <w:rsid w:val="00606811"/>
    <w:rsid w:val="00620DA8"/>
    <w:rsid w:val="006543AC"/>
    <w:rsid w:val="006A74D7"/>
    <w:rsid w:val="006D1402"/>
    <w:rsid w:val="0078728D"/>
    <w:rsid w:val="00857F1F"/>
    <w:rsid w:val="00877312"/>
    <w:rsid w:val="009A4734"/>
    <w:rsid w:val="009F5568"/>
    <w:rsid w:val="00A24111"/>
    <w:rsid w:val="00A300F2"/>
    <w:rsid w:val="00A438EF"/>
    <w:rsid w:val="00AB2B13"/>
    <w:rsid w:val="00AD3F04"/>
    <w:rsid w:val="00C558D1"/>
    <w:rsid w:val="00CA27D8"/>
    <w:rsid w:val="00D4089B"/>
    <w:rsid w:val="00D704D4"/>
    <w:rsid w:val="00D70F19"/>
    <w:rsid w:val="00EC178D"/>
    <w:rsid w:val="00ED23AD"/>
    <w:rsid w:val="00F6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CE6005"/>
  <w15:chartTrackingRefBased/>
  <w15:docId w15:val="{855FA951-9BF1-45B6-B7CA-6AD1EFBA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24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4111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24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4111"/>
    <w:rPr>
      <w:lang w:val="en-GB"/>
    </w:rPr>
  </w:style>
  <w:style w:type="table" w:styleId="Tabel-Gitter">
    <w:name w:val="Table Grid"/>
    <w:basedOn w:val="Tabel-Normal"/>
    <w:uiPriority w:val="39"/>
    <w:rsid w:val="00A2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543A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26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c.nu/godif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15</cp:revision>
  <dcterms:created xsi:type="dcterms:W3CDTF">2020-06-02T12:37:00Z</dcterms:created>
  <dcterms:modified xsi:type="dcterms:W3CDTF">2020-09-25T12:07:00Z</dcterms:modified>
</cp:coreProperties>
</file>