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CD" w:rsidRDefault="003F74CD" w:rsidP="003F74CD"/>
    <w:p w:rsidR="003F74CD" w:rsidRDefault="003F74CD" w:rsidP="003F74C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F74CD" w:rsidRPr="0002256F" w:rsidTr="00700627">
        <w:tc>
          <w:tcPr>
            <w:tcW w:w="1980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Proto</w:t>
            </w:r>
            <w:r w:rsidR="006B6130" w:rsidRPr="0002256F">
              <w:rPr>
                <w:b/>
                <w:bCs/>
              </w:rPr>
              <w:t>k</w:t>
            </w:r>
            <w:r w:rsidRPr="0002256F">
              <w:rPr>
                <w:b/>
                <w:bCs/>
              </w:rPr>
              <w:t>ol tit</w:t>
            </w:r>
            <w:r w:rsidR="006B6130" w:rsidRPr="0002256F">
              <w:rPr>
                <w:b/>
                <w:bCs/>
              </w:rPr>
              <w:t>el</w:t>
            </w:r>
          </w:p>
        </w:tc>
        <w:tc>
          <w:tcPr>
            <w:tcW w:w="7648" w:type="dxa"/>
          </w:tcPr>
          <w:p w:rsidR="003F74CD" w:rsidRPr="00DC039D" w:rsidRDefault="003F74CD" w:rsidP="00700627">
            <w:pPr>
              <w:rPr>
                <w:b/>
                <w:bCs/>
                <w:lang w:val="en-US"/>
              </w:rPr>
            </w:pPr>
            <w:r w:rsidRPr="00DC039D">
              <w:rPr>
                <w:b/>
                <w:bCs/>
                <w:lang w:val="en-US"/>
              </w:rPr>
              <w:t>GODIF</w:t>
            </w:r>
          </w:p>
          <w:p w:rsidR="003F74CD" w:rsidRPr="00DC039D" w:rsidRDefault="003F74CD" w:rsidP="00700627">
            <w:pPr>
              <w:rPr>
                <w:lang w:val="en-US"/>
              </w:rPr>
            </w:pPr>
            <w:r w:rsidRPr="00DC039D">
              <w:rPr>
                <w:lang w:val="en-US"/>
              </w:rPr>
              <w:t>Goal directed fluid removal with furosemide in intensive care patients with fluid overload – A randomised, blinded, placebo-controlled trial (GODIF)</w:t>
            </w:r>
          </w:p>
          <w:p w:rsidR="003F74CD" w:rsidRPr="0002256F" w:rsidRDefault="003F74CD" w:rsidP="00700627">
            <w:r w:rsidRPr="0002256F">
              <w:t>Eudr</w:t>
            </w:r>
            <w:bookmarkStart w:id="0" w:name="_GoBack"/>
            <w:bookmarkEnd w:id="0"/>
            <w:r w:rsidRPr="0002256F">
              <w:t>aCT: 2019-004292-40; ClinicalTrials.gov: NCT04180397</w:t>
            </w:r>
          </w:p>
        </w:tc>
      </w:tr>
      <w:tr w:rsidR="003F74CD" w:rsidRPr="0002256F" w:rsidTr="00700627">
        <w:tc>
          <w:tcPr>
            <w:tcW w:w="1980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SOP na</w:t>
            </w:r>
            <w:r w:rsidR="006B6130" w:rsidRPr="0002256F">
              <w:rPr>
                <w:b/>
                <w:bCs/>
              </w:rPr>
              <w:t>vn</w:t>
            </w:r>
          </w:p>
        </w:tc>
        <w:tc>
          <w:tcPr>
            <w:tcW w:w="7648" w:type="dxa"/>
          </w:tcPr>
          <w:p w:rsidR="003F74CD" w:rsidRPr="0002256F" w:rsidRDefault="00785381" w:rsidP="00700627">
            <w:r w:rsidRPr="0002256F">
              <w:t>Forsøgsmedicin</w:t>
            </w:r>
          </w:p>
        </w:tc>
      </w:tr>
      <w:tr w:rsidR="003F74CD" w:rsidRPr="0002256F" w:rsidTr="00700627">
        <w:tc>
          <w:tcPr>
            <w:tcW w:w="1980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Version</w:t>
            </w:r>
          </w:p>
        </w:tc>
        <w:tc>
          <w:tcPr>
            <w:tcW w:w="7648" w:type="dxa"/>
          </w:tcPr>
          <w:p w:rsidR="003F74CD" w:rsidRPr="0002256F" w:rsidRDefault="003F74CD" w:rsidP="00700627">
            <w:r w:rsidRPr="0002256F">
              <w:t>1.</w:t>
            </w:r>
            <w:r w:rsidR="00B23B4E">
              <w:t>2</w:t>
            </w:r>
          </w:p>
        </w:tc>
      </w:tr>
      <w:tr w:rsidR="003F74CD" w:rsidRPr="0002256F" w:rsidTr="00700627">
        <w:tc>
          <w:tcPr>
            <w:tcW w:w="1980" w:type="dxa"/>
          </w:tcPr>
          <w:p w:rsidR="003F74CD" w:rsidRPr="0002256F" w:rsidRDefault="006B6130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Gyldig fra:</w:t>
            </w:r>
          </w:p>
        </w:tc>
        <w:tc>
          <w:tcPr>
            <w:tcW w:w="7648" w:type="dxa"/>
          </w:tcPr>
          <w:p w:rsidR="003F74CD" w:rsidRPr="0002256F" w:rsidRDefault="003F74CD" w:rsidP="00700627">
            <w:r w:rsidRPr="0002256F">
              <w:t>0</w:t>
            </w:r>
            <w:r w:rsidR="00265310">
              <w:t>6</w:t>
            </w:r>
            <w:r w:rsidRPr="0002256F">
              <w:t>.0</w:t>
            </w:r>
            <w:r w:rsidR="00265310">
              <w:t>5</w:t>
            </w:r>
            <w:r w:rsidRPr="0002256F">
              <w:t xml:space="preserve"> 202</w:t>
            </w:r>
            <w:r w:rsidR="00DC039D">
              <w:t>1</w:t>
            </w:r>
          </w:p>
        </w:tc>
      </w:tr>
    </w:tbl>
    <w:p w:rsidR="003F74CD" w:rsidRPr="0002256F" w:rsidRDefault="003F74CD" w:rsidP="003F74C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6130" w:rsidRPr="0002256F" w:rsidTr="00700627">
        <w:tc>
          <w:tcPr>
            <w:tcW w:w="9628" w:type="dxa"/>
          </w:tcPr>
          <w:p w:rsidR="006B6130" w:rsidRPr="0002256F" w:rsidRDefault="006B6130" w:rsidP="006B6130">
            <w:r w:rsidRPr="0002256F">
              <w:rPr>
                <w:b/>
                <w:bCs/>
              </w:rPr>
              <w:t>Målgruppe:</w:t>
            </w:r>
            <w:r w:rsidRPr="0002256F">
              <w:t xml:space="preserve"> klinisk personale oplært i GODIF (læger og sygeplejersker) og forskningspersonale</w:t>
            </w: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6B6130" w:rsidP="006B6130">
            <w:r w:rsidRPr="0002256F">
              <w:rPr>
                <w:b/>
                <w:bCs/>
              </w:rPr>
              <w:t xml:space="preserve">Ansvarlig: </w:t>
            </w:r>
            <w:r w:rsidRPr="0002256F">
              <w:t>sponsor, overlæge, klinisk lektor, Morten Bestle</w:t>
            </w: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6B6130" w:rsidP="006B6130">
            <w:r w:rsidRPr="0002256F">
              <w:rPr>
                <w:b/>
                <w:bCs/>
              </w:rPr>
              <w:t>Produceret af</w:t>
            </w:r>
            <w:r w:rsidRPr="0002256F">
              <w:t>: koordinerende investigator; Sine Wichmann</w:t>
            </w: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785381" w:rsidP="006B6130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  <w:lang w:val="da-DK"/>
              </w:rPr>
            </w:pPr>
            <w:r w:rsidRPr="0002256F">
              <w:rPr>
                <w:b/>
                <w:bCs/>
                <w:u w:val="single"/>
                <w:lang w:val="da-DK"/>
              </w:rPr>
              <w:t>Formål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 xml:space="preserve">Beskrive </w:t>
            </w:r>
            <w:r w:rsidR="0002256F" w:rsidRPr="0002256F">
              <w:rPr>
                <w:lang w:val="da-DK"/>
              </w:rPr>
              <w:t>hvordan</w:t>
            </w:r>
            <w:r w:rsidRPr="0002256F">
              <w:rPr>
                <w:lang w:val="da-DK"/>
              </w:rPr>
              <w:t xml:space="preserve"> forsøgsmedicin</w:t>
            </w:r>
            <w:r w:rsidR="0002256F" w:rsidRPr="0002256F">
              <w:rPr>
                <w:lang w:val="da-DK"/>
              </w:rPr>
              <w:t>en opstartes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Beskrive hvordan infusionen af forsøgsmedicin justeres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Beskrive hvornår forsøgsmedicinen skal pauses og evt. genstartes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Beskrive stop kriterier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For at sikre en ensartet arbejdsgang for håndtering af forsøgsmedicin</w:t>
            </w:r>
          </w:p>
          <w:p w:rsidR="006B6130" w:rsidRPr="0002256F" w:rsidRDefault="006B6130" w:rsidP="006B6130">
            <w:pPr>
              <w:pStyle w:val="Listeafsnit"/>
              <w:rPr>
                <w:lang w:val="da-DK"/>
              </w:rPr>
            </w:pP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785381" w:rsidP="006B6130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  <w:lang w:val="da-DK"/>
              </w:rPr>
            </w:pPr>
            <w:r w:rsidRPr="0002256F">
              <w:rPr>
                <w:b/>
                <w:bCs/>
                <w:u w:val="single"/>
                <w:lang w:val="da-DK"/>
              </w:rPr>
              <w:t>Beskrivelse</w:t>
            </w:r>
            <w:r w:rsidR="006B6130" w:rsidRPr="0002256F">
              <w:rPr>
                <w:b/>
                <w:bCs/>
                <w:u w:val="single"/>
                <w:lang w:val="da-DK"/>
              </w:rPr>
              <w:t>:</w:t>
            </w:r>
          </w:p>
          <w:p w:rsidR="006B6130" w:rsidRPr="0002256F" w:rsidRDefault="006B6130" w:rsidP="006B6130">
            <w:pPr>
              <w:pStyle w:val="Listeafsnit"/>
              <w:rPr>
                <w:b/>
                <w:bCs/>
                <w:lang w:val="da-DK"/>
              </w:rPr>
            </w:pPr>
          </w:p>
          <w:p w:rsidR="006B6130" w:rsidRPr="0002256F" w:rsidRDefault="006B6130" w:rsidP="006B6130">
            <w:r w:rsidRPr="0002256F">
              <w:rPr>
                <w:b/>
                <w:bCs/>
              </w:rPr>
              <w:t>2.1 Start dos</w:t>
            </w:r>
            <w:r w:rsidR="008C2D91" w:rsidRPr="0002256F">
              <w:rPr>
                <w:b/>
                <w:bCs/>
              </w:rPr>
              <w:t>is</w:t>
            </w:r>
            <w:r w:rsidRPr="0002256F">
              <w:t>:</w:t>
            </w:r>
          </w:p>
          <w:p w:rsidR="006B6130" w:rsidRPr="0002256F" w:rsidRDefault="00E461ED" w:rsidP="006B6130">
            <w:r>
              <w:t xml:space="preserve">0,5 - </w:t>
            </w:r>
            <w:r w:rsidR="006B6130" w:rsidRPr="0002256F">
              <w:t>4 ml</w:t>
            </w:r>
            <w:r w:rsidR="00592542" w:rsidRPr="0002256F">
              <w:t xml:space="preserve"> forsøgsmedicin gives som bolus </w:t>
            </w:r>
            <w:r>
              <w:t xml:space="preserve">ud fra den behandlende læges skøn </w:t>
            </w:r>
            <w:r w:rsidR="003851B1">
              <w:t>af</w:t>
            </w:r>
            <w:r>
              <w:t xml:space="preserve"> hvor meget patienten forventes at kunne tåle, </w:t>
            </w:r>
            <w:r w:rsidR="00592542" w:rsidRPr="0002256F">
              <w:t xml:space="preserve">efterfulgt af infusion af forsøgsmedicin med en </w:t>
            </w:r>
            <w:r w:rsidR="003851B1">
              <w:t>start</w:t>
            </w:r>
            <w:r w:rsidR="00592542" w:rsidRPr="0002256F">
              <w:t xml:space="preserve">hastighed på </w:t>
            </w:r>
            <w:r w:rsidR="006B6130" w:rsidRPr="0002256F">
              <w:t>2 ml/</w:t>
            </w:r>
            <w:r w:rsidR="00592542" w:rsidRPr="0002256F">
              <w:t>time</w:t>
            </w:r>
            <w:r w:rsidR="006B6130" w:rsidRPr="0002256F">
              <w:t>.</w:t>
            </w:r>
          </w:p>
          <w:p w:rsidR="006B6130" w:rsidRPr="0002256F" w:rsidRDefault="006B6130" w:rsidP="006B6130"/>
          <w:p w:rsidR="006B6130" w:rsidRPr="0002256F" w:rsidRDefault="006B6130" w:rsidP="006B6130">
            <w:r w:rsidRPr="0002256F">
              <w:rPr>
                <w:b/>
                <w:bCs/>
              </w:rPr>
              <w:t xml:space="preserve">2.2 </w:t>
            </w:r>
            <w:r w:rsidR="00592542" w:rsidRPr="0002256F">
              <w:rPr>
                <w:b/>
                <w:bCs/>
              </w:rPr>
              <w:t>Justering af infusion af forsøgsmedicin</w:t>
            </w:r>
            <w:r w:rsidRPr="0002256F">
              <w:t>:</w:t>
            </w:r>
          </w:p>
          <w:p w:rsidR="00592542" w:rsidRPr="0002256F" w:rsidRDefault="006B6130" w:rsidP="006B6130">
            <w:r w:rsidRPr="0002256F">
              <w:t>Infusion</w:t>
            </w:r>
            <w:r w:rsidR="00592542" w:rsidRPr="0002256F">
              <w:t>en skal justeres i henhold til effekt og mål for væskebalancen.</w:t>
            </w:r>
            <w:r w:rsidRPr="0002256F">
              <w:t xml:space="preserve"> </w:t>
            </w:r>
            <w:r w:rsidR="00592542" w:rsidRPr="0002256F">
              <w:t>Infusionshastigheden er</w:t>
            </w:r>
            <w:r w:rsidRPr="0002256F">
              <w:t xml:space="preserve"> 0-4 ml/</w:t>
            </w:r>
            <w:r w:rsidR="00592542" w:rsidRPr="0002256F">
              <w:t>time</w:t>
            </w:r>
            <w:r w:rsidRPr="0002256F">
              <w:t>.</w:t>
            </w:r>
            <w:r w:rsidR="00592542" w:rsidRPr="0002256F">
              <w:t xml:space="preserve"> Målet er en negativ væskebalance</w:t>
            </w:r>
            <w:r w:rsidR="00AB654B">
              <w:t xml:space="preserve"> i henhold til nedenstående skema</w:t>
            </w:r>
            <w:r w:rsidR="00592542" w:rsidRPr="0002256F">
              <w:t>.</w:t>
            </w:r>
            <w:r w:rsidRPr="0002256F">
              <w:t xml:space="preserve"> </w:t>
            </w:r>
            <w:r w:rsidR="00592542" w:rsidRPr="0002256F">
              <w:t>Vurdering af effekten af forsøgsmedicinen skal</w:t>
            </w:r>
            <w:r w:rsidR="00AB654B">
              <w:t xml:space="preserve"> gøres</w:t>
            </w:r>
            <w:r w:rsidR="00592542" w:rsidRPr="0002256F">
              <w:t xml:space="preserve"> minimum 3 gange dagligt når sygeplejerskerne opgør væskebalancen (oftest kl. 06:00. 14:00, 22:00). Det vil være hensigtsmæssigt at revurdere infusionsraten og effekten oftere for at sikre at målet nås og undgå store udsving i diureser. Infusionshastigheden skal øges indtil målet for væskebalancen opnås. Hvis målet ikke kan opnås på trods af maksimal infusion med 4 ml/timen, så skal infusionen fortsætte på 4 ml/timen uden </w:t>
            </w:r>
            <w:r w:rsidR="0002256F">
              <w:t>yderligere tiltag</w:t>
            </w:r>
            <w:r w:rsidR="00592542" w:rsidRPr="0002256F">
              <w:t>.</w:t>
            </w:r>
          </w:p>
          <w:p w:rsidR="00592542" w:rsidRPr="0002256F" w:rsidRDefault="00592542" w:rsidP="006B6130">
            <w:r w:rsidRPr="0002256F">
              <w:t xml:space="preserve">Når en ampul med forsøgsmedicin </w:t>
            </w:r>
            <w:r w:rsidR="00D47C28" w:rsidRPr="0002256F">
              <w:t>åbnes,</w:t>
            </w:r>
            <w:r w:rsidRPr="0002256F">
              <w:t xml:space="preserve"> skal medicinen bruges indenfor 24 timer. Infusion af forsøgsmedicin skal </w:t>
            </w:r>
            <w:r w:rsidR="00D47C28" w:rsidRPr="0002256F">
              <w:t>derved skiftes senest hver 24. time. Eventuel rest-medicin kasseres.</w:t>
            </w:r>
          </w:p>
          <w:p w:rsidR="006B6130" w:rsidRDefault="006B6130" w:rsidP="006B6130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1843"/>
              <w:gridCol w:w="1843"/>
            </w:tblGrid>
            <w:tr w:rsidR="003851B1" w:rsidRPr="003851B1" w:rsidTr="00E6100E">
              <w:tc>
                <w:tcPr>
                  <w:tcW w:w="5834" w:type="dxa"/>
                  <w:gridSpan w:val="3"/>
                  <w:shd w:val="clear" w:color="auto" w:fill="E7E6E6" w:themeFill="background2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851B1">
                    <w:rPr>
                      <w:rFonts w:cstheme="minorHAnsi"/>
                      <w:b/>
                      <w:bCs/>
                    </w:rPr>
                    <w:t xml:space="preserve">Minimum </w:t>
                  </w:r>
                  <w:r w:rsidRPr="003851B1">
                    <w:rPr>
                      <w:rFonts w:cstheme="minorHAnsi"/>
                      <w:b/>
                      <w:bCs/>
                    </w:rPr>
                    <w:t>væsketræk i døgnet</w:t>
                  </w:r>
                </w:p>
              </w:tc>
            </w:tr>
            <w:tr w:rsidR="003851B1" w:rsidTr="00E6100E">
              <w:tc>
                <w:tcPr>
                  <w:tcW w:w="2148" w:type="dxa"/>
                  <w:shd w:val="clear" w:color="auto" w:fill="E7E6E6" w:themeFill="background2"/>
                </w:tcPr>
                <w:p w:rsidR="003851B1" w:rsidRPr="001A5FC8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1A5FC8">
                    <w:rPr>
                      <w:rFonts w:cstheme="minorHAnsi"/>
                    </w:rPr>
                    <w:t>H</w:t>
                  </w:r>
                  <w:r>
                    <w:rPr>
                      <w:rFonts w:cstheme="minorHAnsi"/>
                    </w:rPr>
                    <w:t>øjde</w:t>
                  </w:r>
                </w:p>
              </w:tc>
              <w:tc>
                <w:tcPr>
                  <w:tcW w:w="1843" w:type="dxa"/>
                  <w:shd w:val="clear" w:color="auto" w:fill="E7E6E6" w:themeFill="background2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M</w:t>
                  </w:r>
                  <w:r w:rsidRPr="003851B1">
                    <w:rPr>
                      <w:rFonts w:cstheme="minorHAnsi"/>
                    </w:rPr>
                    <w:t>ænd</w:t>
                  </w:r>
                </w:p>
              </w:tc>
              <w:tc>
                <w:tcPr>
                  <w:tcW w:w="1843" w:type="dxa"/>
                  <w:shd w:val="clear" w:color="auto" w:fill="E7E6E6" w:themeFill="background2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Kvinder</w:t>
                  </w:r>
                </w:p>
              </w:tc>
            </w:tr>
            <w:tr w:rsidR="003851B1" w:rsidTr="00E6100E">
              <w:tc>
                <w:tcPr>
                  <w:tcW w:w="2148" w:type="dxa"/>
                </w:tcPr>
                <w:p w:rsid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≤ 159 cm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-1300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-1200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</w:tr>
            <w:tr w:rsidR="003851B1" w:rsidTr="00E6100E">
              <w:tc>
                <w:tcPr>
                  <w:tcW w:w="2148" w:type="dxa"/>
                </w:tcPr>
                <w:p w:rsid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160 – 169 cm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-1500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-1400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</w:tr>
            <w:tr w:rsidR="003851B1" w:rsidTr="00E6100E">
              <w:tc>
                <w:tcPr>
                  <w:tcW w:w="2148" w:type="dxa"/>
                </w:tcPr>
                <w:p w:rsid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170 – 179 cm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-1700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-1600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</w:tr>
            <w:tr w:rsidR="003851B1" w:rsidTr="00E6100E">
              <w:tc>
                <w:tcPr>
                  <w:tcW w:w="2148" w:type="dxa"/>
                </w:tcPr>
                <w:p w:rsid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180 – 189 cm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-1900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-1800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</w:tr>
            <w:tr w:rsidR="003851B1" w:rsidTr="00E6100E">
              <w:tc>
                <w:tcPr>
                  <w:tcW w:w="2148" w:type="dxa"/>
                </w:tcPr>
                <w:p w:rsid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≥ 190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-2000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1843" w:type="dxa"/>
                </w:tcPr>
                <w:p w:rsidR="003851B1" w:rsidRPr="003851B1" w:rsidRDefault="003851B1" w:rsidP="003851B1">
                  <w:pPr>
                    <w:tabs>
                      <w:tab w:val="left" w:pos="883"/>
                    </w:tabs>
                    <w:jc w:val="center"/>
                    <w:rPr>
                      <w:rFonts w:cstheme="minorHAnsi"/>
                    </w:rPr>
                  </w:pPr>
                  <w:r w:rsidRPr="003851B1">
                    <w:rPr>
                      <w:rFonts w:cstheme="minorHAnsi"/>
                    </w:rPr>
                    <w:t>-1900 m</w:t>
                  </w:r>
                  <w:r>
                    <w:rPr>
                      <w:rFonts w:cstheme="minorHAnsi"/>
                    </w:rPr>
                    <w:t>l</w:t>
                  </w:r>
                </w:p>
              </w:tc>
            </w:tr>
          </w:tbl>
          <w:p w:rsidR="003851B1" w:rsidRPr="0002256F" w:rsidRDefault="003851B1" w:rsidP="006B6130"/>
          <w:p w:rsidR="006B6130" w:rsidRPr="0002256F" w:rsidRDefault="006B6130" w:rsidP="006B6130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2.3 Paus</w:t>
            </w:r>
            <w:r w:rsidR="00D47C28" w:rsidRPr="0002256F">
              <w:rPr>
                <w:b/>
                <w:bCs/>
              </w:rPr>
              <w:t xml:space="preserve">ering og </w:t>
            </w:r>
            <w:r w:rsidR="00C928CB" w:rsidRPr="0002256F">
              <w:rPr>
                <w:b/>
                <w:bCs/>
              </w:rPr>
              <w:t>reaktivering</w:t>
            </w:r>
            <w:r w:rsidR="00D47C28" w:rsidRPr="0002256F">
              <w:rPr>
                <w:b/>
                <w:bCs/>
              </w:rPr>
              <w:t xml:space="preserve"> af forsøgsmedicin</w:t>
            </w:r>
            <w:r w:rsidRPr="0002256F">
              <w:rPr>
                <w:b/>
                <w:bCs/>
              </w:rPr>
              <w:t>:</w:t>
            </w:r>
          </w:p>
          <w:p w:rsidR="006B6130" w:rsidRPr="0002256F" w:rsidRDefault="005A13A2" w:rsidP="006B6130">
            <w:r w:rsidRPr="0002256F">
              <w:lastRenderedPageBreak/>
              <w:t>Når en patient er kommet i neutral væskebalance</w:t>
            </w:r>
            <w:r w:rsidR="00B41A59">
              <w:t xml:space="preserve">, som vurderes af behandlende læge/team ud fra den kumulative væskebalance, daglige væskebalance, ændringer i kropsvægt og klinisk undersøgelse (ødemer, stase på rtg. af thorax osv.) </w:t>
            </w:r>
            <w:r w:rsidRPr="0002256F">
              <w:t>skal væsketræk vha. forsøgsmedicin stoppes. Medicinen kan pauseres</w:t>
            </w:r>
            <w:r w:rsidR="00AB654B">
              <w:t>,</w:t>
            </w:r>
            <w:r w:rsidRPr="0002256F">
              <w:t xml:space="preserve"> hvis der ikke er brug for en vedligeholdsdosis. Forsøgsmedicinen kan herefter genstartes, justeres op og ned samt pauseres igen </w:t>
            </w:r>
            <w:r w:rsidR="00EF0443" w:rsidRPr="0002256F">
              <w:t>efter behov for at opretholde</w:t>
            </w:r>
            <w:r w:rsidRPr="0002256F">
              <w:t xml:space="preserve"> neutral væskebalance hos patienten</w:t>
            </w:r>
            <w:r w:rsidR="00EF0443" w:rsidRPr="0002256F">
              <w:t xml:space="preserve">. Den </w:t>
            </w:r>
            <w:r w:rsidR="00EF0443" w:rsidRPr="00AB654B">
              <w:rPr>
                <w:i/>
                <w:iCs/>
              </w:rPr>
              <w:t>skal</w:t>
            </w:r>
            <w:r w:rsidR="00EF0443" w:rsidRPr="0002256F">
              <w:t xml:space="preserve"> genopstartes hvis patienten igen får</w:t>
            </w:r>
            <w:r w:rsidR="00B41A59">
              <w:t xml:space="preserve"> tegn på</w:t>
            </w:r>
            <w:r w:rsidR="00EF0443" w:rsidRPr="0002256F">
              <w:t xml:space="preserve"> væskeophobning.</w:t>
            </w:r>
            <w:r w:rsidR="00E461ED">
              <w:t xml:space="preserve"> Ved genopstart af forsøgsmedicin efter en pause skal der ikke gives bolus injektion. </w:t>
            </w:r>
          </w:p>
          <w:p w:rsidR="006B6130" w:rsidRPr="0002256F" w:rsidRDefault="006B6130" w:rsidP="006B6130"/>
          <w:p w:rsidR="006B6130" w:rsidRPr="0002256F" w:rsidRDefault="00EF0443" w:rsidP="006B6130">
            <w:r w:rsidRPr="0002256F">
              <w:t>I tilfælde at patienten bliver cirkulatorisk ustabil</w:t>
            </w:r>
            <w:r w:rsidR="006B6130" w:rsidRPr="0002256F">
              <w:t xml:space="preserve"> (MAP &lt; 50 mmHg </w:t>
            </w:r>
            <w:r w:rsidRPr="0002256F">
              <w:rPr>
                <w:i/>
                <w:iCs/>
              </w:rPr>
              <w:t>eller</w:t>
            </w:r>
            <w:r w:rsidR="006B6130" w:rsidRPr="0002256F">
              <w:t xml:space="preserve"> la</w:t>
            </w:r>
            <w:r w:rsidRPr="0002256F">
              <w:t>k</w:t>
            </w:r>
            <w:r w:rsidR="006B6130" w:rsidRPr="0002256F">
              <w:t xml:space="preserve">tat </w:t>
            </w:r>
            <w:r w:rsidR="006B6130" w:rsidRPr="0002256F">
              <w:rPr>
                <w:rFonts w:cstheme="minorHAnsi"/>
              </w:rPr>
              <w:t xml:space="preserve">≥ </w:t>
            </w:r>
            <w:r w:rsidR="006B6130" w:rsidRPr="0002256F">
              <w:t xml:space="preserve">4.0 </w:t>
            </w:r>
            <w:r w:rsidRPr="0002256F">
              <w:rPr>
                <w:i/>
                <w:iCs/>
              </w:rPr>
              <w:t>eller</w:t>
            </w:r>
            <w:r w:rsidRPr="0002256F">
              <w:t xml:space="preserve"> marmorering ud over knæskallerne skal forsøgsmedicinen pauseres og patienten resusciteres i følge </w:t>
            </w:r>
            <w:r w:rsidR="006B6130" w:rsidRPr="0002256F">
              <w:t>resuscitation</w:t>
            </w:r>
            <w:r w:rsidRPr="0002256F">
              <w:t>s</w:t>
            </w:r>
            <w:r w:rsidR="006B6130" w:rsidRPr="0002256F">
              <w:t xml:space="preserve"> algori</w:t>
            </w:r>
            <w:r w:rsidRPr="0002256F">
              <w:t>tmen</w:t>
            </w:r>
            <w:r w:rsidR="0002256F">
              <w:t xml:space="preserve"> med</w:t>
            </w:r>
            <w:r w:rsidR="006B6130" w:rsidRPr="0002256F">
              <w:t xml:space="preserve"> </w:t>
            </w:r>
            <w:r w:rsidR="0002256F">
              <w:t>v</w:t>
            </w:r>
            <w:r w:rsidRPr="0002256F">
              <w:t xml:space="preserve">æske boli af </w:t>
            </w:r>
            <w:r w:rsidR="006B6130" w:rsidRPr="0002256F">
              <w:t>250-500 m</w:t>
            </w:r>
            <w:r w:rsidR="00AB654B">
              <w:t>l</w:t>
            </w:r>
            <w:r w:rsidR="006B6130" w:rsidRPr="0002256F">
              <w:t xml:space="preserve"> </w:t>
            </w:r>
            <w:r w:rsidRPr="0002256F">
              <w:t>k</w:t>
            </w:r>
            <w:r w:rsidR="006B6130" w:rsidRPr="0002256F">
              <w:t>rystalloid</w:t>
            </w:r>
            <w:r w:rsidR="0002256F">
              <w:t>. Ci</w:t>
            </w:r>
            <w:r w:rsidR="00B71AA8">
              <w:t>r</w:t>
            </w:r>
            <w:r w:rsidR="0002256F">
              <w:t>kulationen skal</w:t>
            </w:r>
            <w:r w:rsidRPr="0002256F">
              <w:t xml:space="preserve"> reevaluere</w:t>
            </w:r>
            <w:r w:rsidR="0002256F">
              <w:t>s</w:t>
            </w:r>
            <w:r w:rsidRPr="0002256F">
              <w:t xml:space="preserve"> indenfor </w:t>
            </w:r>
            <w:r w:rsidR="006B6130" w:rsidRPr="0002256F">
              <w:t xml:space="preserve">30 min. </w:t>
            </w:r>
            <w:r w:rsidRPr="0002256F">
              <w:t xml:space="preserve">Gentag resuscitationen og </w:t>
            </w:r>
            <w:r w:rsidR="00AB654B" w:rsidRPr="0002256F">
              <w:t>re</w:t>
            </w:r>
            <w:r w:rsidR="00AB654B">
              <w:t>e</w:t>
            </w:r>
            <w:r w:rsidR="00AB654B" w:rsidRPr="0002256F">
              <w:t>valueringer</w:t>
            </w:r>
            <w:r w:rsidRPr="0002256F">
              <w:t xml:space="preserve"> indtil tilfredsstillende cirkulation</w:t>
            </w:r>
            <w:r w:rsidR="006B6130" w:rsidRPr="0002256F">
              <w:t xml:space="preserve"> (la</w:t>
            </w:r>
            <w:r w:rsidRPr="0002256F">
              <w:t>k</w:t>
            </w:r>
            <w:r w:rsidR="006B6130" w:rsidRPr="0002256F">
              <w:t xml:space="preserve">tat &lt; 4.0, MAP &gt; 50 mmHg </w:t>
            </w:r>
            <w:r w:rsidRPr="0002256F">
              <w:t>og ingen marmorering ud over knæskallerne</w:t>
            </w:r>
            <w:r w:rsidR="006B6130" w:rsidRPr="0002256F">
              <w:t xml:space="preserve">). </w:t>
            </w:r>
            <w:r w:rsidR="00B71AA8">
              <w:t>Forsøgsmedicinen skal genopstartes når patienten vurderes klinisk</w:t>
            </w:r>
            <w:r w:rsidR="00AB654B">
              <w:t xml:space="preserve"> stabil</w:t>
            </w:r>
            <w:r w:rsidR="00B71AA8">
              <w:t xml:space="preserve"> til dette af det behandlingsansvarlige team.</w:t>
            </w:r>
          </w:p>
          <w:p w:rsidR="006B6130" w:rsidRPr="0002256F" w:rsidRDefault="004F58AE" w:rsidP="006B6130">
            <w:r w:rsidRPr="0002256F">
              <w:t>I tilfælde af escape dialyse skal forsøgsmedicinen pauseres, men genopstartes når dialysen pauseres eller stoppes</w:t>
            </w:r>
            <w:r w:rsidR="00B71AA8">
              <w:t>, hvis der fortsat er brug for væsketræk</w:t>
            </w:r>
            <w:r w:rsidRPr="0002256F">
              <w:t>.</w:t>
            </w:r>
            <w:r w:rsidR="00AB654B">
              <w:t xml:space="preserve"> Hvis der gives escape furosemid, så skal forsøgsmedicinen forsætte på maximal infusionshastighed. Max dosis i døgnet af escape furosemid er 540 mg.</w:t>
            </w:r>
          </w:p>
          <w:p w:rsidR="006B6130" w:rsidRPr="0002256F" w:rsidRDefault="006B6130" w:rsidP="006B6130"/>
          <w:p w:rsidR="006B6130" w:rsidRPr="0002256F" w:rsidRDefault="006B6130" w:rsidP="006B6130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2.4 Stop</w:t>
            </w:r>
            <w:r w:rsidR="004F58AE" w:rsidRPr="0002256F">
              <w:rPr>
                <w:b/>
                <w:bCs/>
              </w:rPr>
              <w:t xml:space="preserve"> kriterier</w:t>
            </w:r>
            <w:r w:rsidRPr="0002256F">
              <w:rPr>
                <w:b/>
                <w:bCs/>
              </w:rPr>
              <w:t>:</w:t>
            </w:r>
          </w:p>
          <w:p w:rsidR="005A13A2" w:rsidRDefault="005A13A2" w:rsidP="005A13A2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 w:rsidRPr="0002256F">
              <w:rPr>
                <w:lang w:val="da-DK"/>
              </w:rPr>
              <w:t xml:space="preserve">Neutral </w:t>
            </w:r>
            <w:r w:rsidR="004F58AE" w:rsidRPr="0002256F">
              <w:rPr>
                <w:lang w:val="da-DK"/>
              </w:rPr>
              <w:t>væske</w:t>
            </w:r>
            <w:r w:rsidRPr="0002256F">
              <w:rPr>
                <w:lang w:val="da-DK"/>
              </w:rPr>
              <w:t>balance</w:t>
            </w:r>
            <w:r w:rsidR="004F58AE" w:rsidRPr="0002256F">
              <w:rPr>
                <w:lang w:val="da-DK"/>
              </w:rPr>
              <w:t xml:space="preserve"> op nået </w:t>
            </w:r>
            <w:r w:rsidR="00B71AA8">
              <w:rPr>
                <w:lang w:val="da-DK"/>
              </w:rPr>
              <w:t>(vurderet på baggrund af væskeskemaer, ændringer i vægt og klinisk undersøgelse)</w:t>
            </w:r>
          </w:p>
          <w:p w:rsidR="00B71AA8" w:rsidRPr="0002256F" w:rsidRDefault="00B71AA8" w:rsidP="005A13A2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>Cirkulatorisk ustabil (forsøgsmedicin genopstartes når patienten er vurderet stabil nok til at kunne tåle et væsketræk).</w:t>
            </w:r>
          </w:p>
          <w:p w:rsidR="004F58AE" w:rsidRPr="0002256F" w:rsidRDefault="004F58AE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Udskrevet fra intensivafdelingen</w:t>
            </w:r>
          </w:p>
          <w:p w:rsidR="006B6130" w:rsidRPr="0002256F" w:rsidRDefault="004F58AE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Overflyttet til en anden intensiv afdeling som ikke deltager i GODIF studiet</w:t>
            </w:r>
          </w:p>
          <w:p w:rsidR="006B6130" w:rsidRPr="0002256F" w:rsidRDefault="006B6130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D</w:t>
            </w:r>
            <w:r w:rsidR="004F58AE" w:rsidRPr="0002256F">
              <w:rPr>
                <w:lang w:val="da-DK"/>
              </w:rPr>
              <w:t xml:space="preserve">ød </w:t>
            </w:r>
          </w:p>
          <w:p w:rsidR="006B6130" w:rsidRPr="0002256F" w:rsidRDefault="004F58AE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Patienten har været inkluderet i studiet i 90 dage</w:t>
            </w:r>
          </w:p>
          <w:p w:rsidR="006B6130" w:rsidRPr="0002256F" w:rsidRDefault="006B6130" w:rsidP="006B6130">
            <w:pPr>
              <w:pStyle w:val="Listeafsnit"/>
              <w:rPr>
                <w:lang w:val="da-DK"/>
              </w:rPr>
            </w:pPr>
          </w:p>
        </w:tc>
      </w:tr>
      <w:tr w:rsidR="006B6130" w:rsidRPr="004F58AE" w:rsidTr="00700627">
        <w:tc>
          <w:tcPr>
            <w:tcW w:w="9628" w:type="dxa"/>
          </w:tcPr>
          <w:p w:rsidR="006B6130" w:rsidRPr="004F58AE" w:rsidRDefault="004F58AE" w:rsidP="006B6130">
            <w:r w:rsidRPr="00EA75C7">
              <w:rPr>
                <w:b/>
                <w:bCs/>
              </w:rPr>
              <w:lastRenderedPageBreak/>
              <w:t xml:space="preserve">Ansvarlige for registrering og administration af </w:t>
            </w:r>
            <w:r>
              <w:rPr>
                <w:b/>
                <w:bCs/>
              </w:rPr>
              <w:t>medicin</w:t>
            </w:r>
            <w:r w:rsidRPr="00EA75C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CE49EB">
              <w:t xml:space="preserve">læger, </w:t>
            </w:r>
            <w:r w:rsidR="0002256F" w:rsidRPr="00CE49EB">
              <w:t>sygeplejersker</w:t>
            </w:r>
            <w:r>
              <w:t xml:space="preserve"> trænet i GODIF samt</w:t>
            </w:r>
            <w:r>
              <w:rPr>
                <w:b/>
                <w:bCs/>
              </w:rPr>
              <w:t xml:space="preserve"> </w:t>
            </w:r>
            <w:r>
              <w:t>forskningspersonale</w:t>
            </w:r>
          </w:p>
        </w:tc>
      </w:tr>
      <w:tr w:rsidR="006B6130" w:rsidTr="00700627">
        <w:tc>
          <w:tcPr>
            <w:tcW w:w="9628" w:type="dxa"/>
          </w:tcPr>
          <w:p w:rsidR="006B6130" w:rsidRPr="004F58AE" w:rsidRDefault="006B6130" w:rsidP="006B6130"/>
          <w:p w:rsidR="006B6130" w:rsidRDefault="0002256F" w:rsidP="006B6130">
            <w:r>
              <w:rPr>
                <w:b/>
                <w:bCs/>
              </w:rPr>
              <w:t>Godkendt d.</w:t>
            </w:r>
            <w:r w:rsidR="006B6130" w:rsidRPr="00226EE4">
              <w:rPr>
                <w:b/>
                <w:bCs/>
              </w:rPr>
              <w:t xml:space="preserve"> </w:t>
            </w:r>
            <w:r w:rsidR="00E461ED">
              <w:rPr>
                <w:b/>
                <w:bCs/>
              </w:rPr>
              <w:t>0</w:t>
            </w:r>
            <w:r w:rsidR="00AB654B">
              <w:rPr>
                <w:b/>
                <w:bCs/>
              </w:rPr>
              <w:t>6</w:t>
            </w:r>
            <w:r w:rsidR="006B6130" w:rsidRPr="00226EE4">
              <w:rPr>
                <w:b/>
                <w:bCs/>
              </w:rPr>
              <w:t>.0</w:t>
            </w:r>
            <w:r w:rsidR="00AB654B">
              <w:rPr>
                <w:b/>
                <w:bCs/>
              </w:rPr>
              <w:t>5</w:t>
            </w:r>
            <w:r w:rsidR="006B6130" w:rsidRPr="00226EE4">
              <w:rPr>
                <w:b/>
                <w:bCs/>
              </w:rPr>
              <w:t xml:space="preserve"> 202</w:t>
            </w:r>
            <w:r w:rsidR="00E461ED">
              <w:rPr>
                <w:b/>
                <w:bCs/>
              </w:rPr>
              <w:t>1</w:t>
            </w:r>
            <w:r w:rsidR="006B6130">
              <w:t>:   Sponsor, Morten Bestle</w:t>
            </w:r>
          </w:p>
          <w:p w:rsidR="006B6130" w:rsidRDefault="006B6130" w:rsidP="006B6130"/>
        </w:tc>
      </w:tr>
    </w:tbl>
    <w:p w:rsidR="003F74CD" w:rsidRPr="00A24111" w:rsidRDefault="003F74CD" w:rsidP="003F74CD"/>
    <w:p w:rsidR="004A33B7" w:rsidRDefault="004A33B7"/>
    <w:sectPr w:rsidR="004A33B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4D4" w:rsidRDefault="009934D4" w:rsidP="009934D4">
      <w:pPr>
        <w:spacing w:after="0" w:line="240" w:lineRule="auto"/>
      </w:pPr>
      <w:r>
        <w:separator/>
      </w:r>
    </w:p>
  </w:endnote>
  <w:endnote w:type="continuationSeparator" w:id="0">
    <w:p w:rsidR="009934D4" w:rsidRDefault="009934D4" w:rsidP="0099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E4" w:rsidRPr="009F5568" w:rsidRDefault="0047316E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sz w:val="18"/>
        <w:szCs w:val="18"/>
        <w:lang w:val="da-DK"/>
      </w:rPr>
      <w:t xml:space="preserve">Anæstesiologisk afdeling Nordsjællands hospital </w:t>
    </w:r>
    <w:r w:rsidRPr="009F5568">
      <w:rPr>
        <w:rFonts w:cstheme="minorHAnsi"/>
        <w:sz w:val="18"/>
        <w:szCs w:val="18"/>
        <w:lang w:val="da-DK"/>
      </w:rPr>
      <w:t>● Dyrehavevej 29 ● 3400 Hillerød</w:t>
    </w:r>
  </w:p>
  <w:p w:rsidR="00226EE4" w:rsidRPr="009F5568" w:rsidRDefault="0047316E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rFonts w:cstheme="minorHAnsi"/>
        <w:sz w:val="18"/>
        <w:szCs w:val="18"/>
        <w:lang w:val="da-DK"/>
      </w:rPr>
      <w:t xml:space="preserve">+45 48296773 ● </w:t>
    </w:r>
    <w:hyperlink r:id="rId1" w:history="1">
      <w:r w:rsidRPr="009F5568">
        <w:rPr>
          <w:rStyle w:val="Hyperlink"/>
          <w:rFonts w:cstheme="minorHAnsi"/>
          <w:sz w:val="18"/>
          <w:szCs w:val="18"/>
          <w:lang w:val="da-DK"/>
        </w:rPr>
        <w:t>godif@cric.nu</w:t>
      </w:r>
    </w:hyperlink>
    <w:r w:rsidRPr="009F5568">
      <w:rPr>
        <w:rFonts w:cstheme="minorHAnsi"/>
        <w:sz w:val="18"/>
        <w:szCs w:val="18"/>
        <w:lang w:val="da-DK"/>
      </w:rPr>
      <w:t xml:space="preserve"> ● </w:t>
    </w:r>
    <w:hyperlink r:id="rId2" w:history="1">
      <w:r w:rsidRPr="009F5568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4D4" w:rsidRDefault="009934D4" w:rsidP="009934D4">
      <w:pPr>
        <w:spacing w:after="0" w:line="240" w:lineRule="auto"/>
      </w:pPr>
      <w:r>
        <w:separator/>
      </w:r>
    </w:p>
  </w:footnote>
  <w:footnote w:type="continuationSeparator" w:id="0">
    <w:p w:rsidR="009934D4" w:rsidRDefault="009934D4" w:rsidP="0099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Pr="009F5568" w:rsidRDefault="0047316E" w:rsidP="009F5568">
    <w:pPr>
      <w:pStyle w:val="Sidehoved"/>
      <w:jc w:val="right"/>
      <w:rPr>
        <w:sz w:val="16"/>
        <w:szCs w:val="16"/>
      </w:rPr>
    </w:pPr>
    <w:r w:rsidRPr="009F5568">
      <w:rPr>
        <w:sz w:val="16"/>
        <w:szCs w:val="16"/>
      </w:rPr>
      <w:t>SOP_</w:t>
    </w:r>
    <w:r w:rsidR="009934D4">
      <w:rPr>
        <w:sz w:val="16"/>
        <w:szCs w:val="16"/>
      </w:rPr>
      <w:t>forsøgsmedicin</w:t>
    </w:r>
    <w:r w:rsidRPr="009F5568">
      <w:rPr>
        <w:sz w:val="16"/>
        <w:szCs w:val="16"/>
      </w:rPr>
      <w:t>_V1.</w:t>
    </w:r>
    <w:r w:rsidR="00265310">
      <w:rPr>
        <w:sz w:val="16"/>
        <w:szCs w:val="16"/>
      </w:rPr>
      <w:t>2</w:t>
    </w:r>
    <w:r w:rsidRPr="009F5568">
      <w:rPr>
        <w:sz w:val="16"/>
        <w:szCs w:val="16"/>
      </w:rPr>
      <w:t>_</w:t>
    </w:r>
    <w:r w:rsidR="00DC039D">
      <w:rPr>
        <w:sz w:val="16"/>
        <w:szCs w:val="16"/>
      </w:rPr>
      <w:t>0</w:t>
    </w:r>
    <w:r w:rsidR="00265310">
      <w:rPr>
        <w:sz w:val="16"/>
        <w:szCs w:val="16"/>
      </w:rPr>
      <w:t>6</w:t>
    </w:r>
    <w:r w:rsidRPr="009F5568">
      <w:rPr>
        <w:sz w:val="16"/>
        <w:szCs w:val="16"/>
      </w:rPr>
      <w:t>.0</w:t>
    </w:r>
    <w:r w:rsidR="00265310">
      <w:rPr>
        <w:sz w:val="16"/>
        <w:szCs w:val="16"/>
      </w:rPr>
      <w:t>5</w:t>
    </w:r>
    <w:r w:rsidRPr="009F5568">
      <w:rPr>
        <w:sz w:val="16"/>
        <w:szCs w:val="16"/>
      </w:rPr>
      <w:t>.202</w:t>
    </w:r>
    <w:r w:rsidR="00DC039D">
      <w:rPr>
        <w:sz w:val="16"/>
        <w:szCs w:val="16"/>
      </w:rPr>
      <w:t>1</w:t>
    </w:r>
  </w:p>
  <w:p w:rsidR="00A24111" w:rsidRDefault="0047316E">
    <w:pPr>
      <w:pStyle w:val="Sidehoved"/>
    </w:pPr>
    <w:r>
      <w:rPr>
        <w:noProof/>
      </w:rPr>
      <w:drawing>
        <wp:inline distT="0" distB="0" distL="0" distR="0" wp14:anchorId="01FD6DCA" wp14:editId="72699B86">
          <wp:extent cx="1845637" cy="476250"/>
          <wp:effectExtent l="0" t="0" r="254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77" cy="52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111" w:rsidRDefault="00C928C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AA0"/>
    <w:multiLevelType w:val="hybridMultilevel"/>
    <w:tmpl w:val="E164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793"/>
    <w:multiLevelType w:val="hybridMultilevel"/>
    <w:tmpl w:val="484E5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70CF5"/>
    <w:multiLevelType w:val="hybridMultilevel"/>
    <w:tmpl w:val="4F3AB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A11"/>
    <w:multiLevelType w:val="hybridMultilevel"/>
    <w:tmpl w:val="B01E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CD"/>
    <w:rsid w:val="0002256F"/>
    <w:rsid w:val="00265310"/>
    <w:rsid w:val="003851B1"/>
    <w:rsid w:val="003F74CD"/>
    <w:rsid w:val="0047316E"/>
    <w:rsid w:val="004A33B7"/>
    <w:rsid w:val="004F58AE"/>
    <w:rsid w:val="00592542"/>
    <w:rsid w:val="005A13A2"/>
    <w:rsid w:val="006B6130"/>
    <w:rsid w:val="00785381"/>
    <w:rsid w:val="008C2D91"/>
    <w:rsid w:val="009934D4"/>
    <w:rsid w:val="00AB654B"/>
    <w:rsid w:val="00B23B4E"/>
    <w:rsid w:val="00B41A59"/>
    <w:rsid w:val="00B71AA8"/>
    <w:rsid w:val="00C928CB"/>
    <w:rsid w:val="00D47C28"/>
    <w:rsid w:val="00DC039D"/>
    <w:rsid w:val="00E461ED"/>
    <w:rsid w:val="00E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4827"/>
  <w15:chartTrackingRefBased/>
  <w15:docId w15:val="{77BB5C0B-A155-4EA2-8150-D0C757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F74CD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3F74C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3F74CD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SidefodTegn">
    <w:name w:val="Sidefod Tegn"/>
    <w:basedOn w:val="Standardskrifttypeiafsnit"/>
    <w:link w:val="Sidefod"/>
    <w:uiPriority w:val="99"/>
    <w:rsid w:val="003F74CD"/>
    <w:rPr>
      <w:lang w:val="en-GB"/>
    </w:rPr>
  </w:style>
  <w:style w:type="table" w:styleId="Tabel-Gitter">
    <w:name w:val="Table Grid"/>
    <w:basedOn w:val="Tabel-Normal"/>
    <w:uiPriority w:val="39"/>
    <w:rsid w:val="003F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F74CD"/>
    <w:pPr>
      <w:ind w:left="720"/>
      <w:contextualSpacing/>
    </w:pPr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3F7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8</cp:revision>
  <dcterms:created xsi:type="dcterms:W3CDTF">2021-03-08T09:49:00Z</dcterms:created>
  <dcterms:modified xsi:type="dcterms:W3CDTF">2021-05-06T12:36:00Z</dcterms:modified>
</cp:coreProperties>
</file>